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5"/>
        </w:rPr>
      </w:pPr>
    </w:p>
    <w:p>
      <w:pPr>
        <w:tabs>
          <w:tab w:pos="1432" w:val="left" w:leader="none"/>
        </w:tabs>
        <w:spacing w:before="87"/>
        <w:ind w:left="221" w:right="0" w:firstLine="0"/>
        <w:jc w:val="center"/>
        <w:rPr>
          <w:sz w:val="29"/>
        </w:rPr>
      </w:pPr>
      <w:r>
        <w:rPr>
          <w:w w:val="115"/>
          <w:sz w:val="29"/>
        </w:rPr>
        <w:t>GASES</w:t>
        <w:tab/>
        <w:t>ADJUDGED</w:t>
      </w:r>
    </w:p>
    <w:p>
      <w:pPr>
        <w:pStyle w:val="Heading2"/>
        <w:spacing w:before="144"/>
        <w:ind w:left="367"/>
      </w:pPr>
      <w:r>
        <w:rPr>
          <w:w w:val="105"/>
        </w:rPr>
        <w:t>IN THE</w:t>
      </w:r>
    </w:p>
    <w:p>
      <w:pPr>
        <w:pStyle w:val="Title"/>
        <w:tabs>
          <w:tab w:pos="2763" w:val="left" w:leader="none"/>
          <w:tab w:pos="2871" w:val="left" w:leader="none"/>
          <w:tab w:pos="3691" w:val="left" w:leader="none"/>
          <w:tab w:pos="4536" w:val="left" w:leader="none"/>
          <w:tab w:pos="5343" w:val="left" w:leader="none"/>
        </w:tabs>
        <w:spacing w:line="280" w:lineRule="auto"/>
      </w:pPr>
      <w:r>
        <w:rPr>
          <w:w w:val="110"/>
        </w:rPr>
        <w:t>SUPREME</w:t>
        <w:tab/>
        <w:t>COURT</w:t>
        <w:tab/>
        <w:t>OF</w:t>
        <w:tab/>
        <w:t>TH</w:t>
      </w:r>
      <w:r>
        <w:rPr>
          <w:spacing w:val="-20"/>
          <w:w w:val="110"/>
        </w:rPr>
        <w:t> </w:t>
      </w:r>
      <w:r>
        <w:rPr>
          <w:spacing w:val="-15"/>
          <w:w w:val="110"/>
        </w:rPr>
        <w:t>E </w:t>
      </w:r>
      <w:r>
        <w:rPr>
          <w:w w:val="110"/>
        </w:rPr>
        <w:t>REPUBLI</w:t>
      </w:r>
      <w:r>
        <w:rPr>
          <w:spacing w:val="-50"/>
          <w:w w:val="110"/>
        </w:rPr>
        <w:t> </w:t>
      </w:r>
      <w:r>
        <w:rPr>
          <w:w w:val="110"/>
        </w:rPr>
        <w:t>C</w:t>
        <w:tab/>
        <w:tab/>
        <w:t>OF</w:t>
        <w:tab/>
        <w:t>LIBERIA</w:t>
      </w:r>
    </w:p>
    <w:p>
      <w:pPr>
        <w:pStyle w:val="Heading1"/>
        <w:spacing w:line="240" w:lineRule="auto" w:before="339"/>
      </w:pPr>
      <w:r>
        <w:rPr>
          <w:w w:val="105"/>
        </w:rPr>
        <w:t>MARCH TERM, 1962.</w:t>
      </w:r>
    </w:p>
    <w:p>
      <w:pPr>
        <w:pStyle w:val="BodyText"/>
        <w:spacing w:before="0"/>
        <w:rPr>
          <w:sz w:val="23"/>
        </w:rPr>
      </w:pPr>
      <w:r>
        <w:rPr/>
        <w:pict>
          <v:shape style="position:absolute;margin-left:184.953903pt;margin-top:15.584742pt;width:87.95pt;height:.1pt;mso-position-horizontal-relative:page;mso-position-vertical-relative:paragraph;z-index:-15728640;mso-wrap-distance-left:0;mso-wrap-distance-right:0" coordorigin="3699,312" coordsize="1759,0" path="m3699,312l5458,31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1312" w:val="left" w:leader="none"/>
          <w:tab w:pos="1774" w:val="left" w:leader="none"/>
          <w:tab w:pos="3260" w:val="left" w:leader="none"/>
          <w:tab w:pos="4618" w:val="left" w:leader="none"/>
          <w:tab w:pos="5045" w:val="left" w:leader="none"/>
        </w:tabs>
        <w:spacing w:line="293" w:lineRule="exact" w:before="222"/>
        <w:ind w:left="185" w:right="0" w:firstLine="0"/>
        <w:jc w:val="center"/>
        <w:rPr>
          <w:sz w:val="26"/>
        </w:rPr>
      </w:pPr>
      <w:r>
        <w:rPr>
          <w:w w:val="105"/>
          <w:sz w:val="26"/>
        </w:rPr>
        <w:t>JACOB</w:t>
        <w:tab/>
        <w:t>C.</w:t>
        <w:tab/>
        <w:t>TETTEH,</w:t>
        <w:tab/>
        <w:t>Appellant,</w:t>
        <w:tab/>
        <w:t>c.</w:t>
        <w:tab/>
        <w:t>MARTHA</w:t>
      </w:r>
    </w:p>
    <w:p>
      <w:pPr>
        <w:spacing w:line="293" w:lineRule="exact" w:before="0"/>
        <w:ind w:left="213" w:right="0" w:firstLine="0"/>
        <w:jc w:val="center"/>
        <w:rPr>
          <w:sz w:val="26"/>
        </w:rPr>
      </w:pPr>
      <w:r>
        <w:rPr>
          <w:w w:val="110"/>
          <w:sz w:val="26"/>
        </w:rPr>
        <w:t>STU BBLEFIELD, Appellee.</w:t>
      </w:r>
    </w:p>
    <w:p>
      <w:pPr>
        <w:spacing w:line="348" w:lineRule="auto" w:before="245"/>
        <w:ind w:left="1182" w:right="994" w:firstLine="0"/>
        <w:jc w:val="center"/>
        <w:rPr>
          <w:sz w:val="15"/>
        </w:rPr>
      </w:pPr>
      <w:r>
        <w:rPr>
          <w:w w:val="105"/>
          <w:sz w:val="15"/>
        </w:rPr>
        <w:t>APPEAL FROM TH E MO NT HLY AND PROBATE COURT OF MONTSERRADO COU NTY.</w:t>
      </w:r>
    </w:p>
    <w:p>
      <w:pPr>
        <w:pStyle w:val="Heading2"/>
      </w:pPr>
      <w:r>
        <w:rPr/>
        <w:t>Argued April 14, 1962. Decided June 1, 1962.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52" w:after="0"/>
        <w:ind w:left="529" w:right="0" w:hanging="211"/>
        <w:jc w:val="left"/>
        <w:rPr>
          <w:sz w:val="17"/>
        </w:rPr>
      </w:pPr>
      <w:r>
        <w:rPr>
          <w:w w:val="105"/>
          <w:sz w:val="17"/>
        </w:rPr>
        <w:t>A trial court cannot properly pass upon issues not raised in the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pleadings.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" w:after="0"/>
        <w:ind w:left="525" w:right="121" w:hanging="205"/>
        <w:jc w:val="left"/>
        <w:rPr>
          <w:sz w:val="17"/>
        </w:rPr>
      </w:pPr>
      <w:r>
        <w:rPr>
          <w:w w:val="105"/>
          <w:sz w:val="17"/>
        </w:rPr>
        <w:t>A grantee of real property under an executrix's  deed  has  a  duty  to  examine into the executrix’s right to execute such a conveyance.</w:t>
      </w:r>
    </w:p>
    <w:p>
      <w:pPr>
        <w:pStyle w:val="BodyText"/>
        <w:spacing w:line="247" w:lineRule="auto"/>
        <w:ind w:left="524" w:right="54" w:hanging="208"/>
      </w:pPr>
      <w:r>
        <w:rPr>
          <w:w w:val="110"/>
        </w:rPr>
        <w:t>5. In the administration of a decedent estate, a sale of real property by the executrix is void if not duly authorized by the probate court.</w:t>
      </w:r>
    </w:p>
    <w:p>
      <w:pPr>
        <w:pStyle w:val="BodyText"/>
        <w:spacing w:before="5"/>
        <w:rPr>
          <w:sz w:val="16"/>
        </w:rPr>
      </w:pPr>
    </w:p>
    <w:p>
      <w:pPr>
        <w:spacing w:line="259" w:lineRule="auto" w:before="0"/>
        <w:ind w:left="332" w:right="106" w:firstLine="244"/>
        <w:jc w:val="both"/>
        <w:rPr>
          <w:i/>
          <w:sz w:val="23"/>
        </w:rPr>
      </w:pPr>
      <w:r>
        <w:rPr>
          <w:w w:val="110"/>
          <w:sz w:val="23"/>
        </w:rPr>
        <w:t>Appel lee, as legatee under a will, filed objections to the probation of a deed whereby the executrix sought to con- vey real property of the testator to appellant.  The  pro-  bate court’s ruling that the deed was void as a matter  of law was</w:t>
      </w:r>
      <w:r>
        <w:rPr>
          <w:spacing w:val="29"/>
          <w:w w:val="110"/>
          <w:sz w:val="23"/>
        </w:rPr>
        <w:t> </w:t>
      </w:r>
      <w:r>
        <w:rPr>
          <w:i/>
          <w:spacing w:val="2"/>
          <w:w w:val="110"/>
          <w:sz w:val="23"/>
        </w:rPr>
        <w:t>affrmed.</w:t>
      </w:r>
    </w:p>
    <w:p>
      <w:pPr>
        <w:pStyle w:val="BodyText"/>
        <w:rPr>
          <w:i/>
          <w:sz w:val="22"/>
        </w:rPr>
      </w:pPr>
    </w:p>
    <w:p>
      <w:pPr>
        <w:spacing w:line="237" w:lineRule="auto" w:before="0"/>
        <w:ind w:left="333" w:right="117" w:firstLine="228"/>
        <w:jc w:val="both"/>
        <w:rPr>
          <w:sz w:val="25"/>
        </w:rPr>
      </w:pPr>
      <w:r>
        <w:rPr>
          <w:i/>
          <w:w w:val="105"/>
          <w:sz w:val="25"/>
        </w:rPr>
        <w:t>William N. </w:t>
      </w:r>
      <w:r>
        <w:rPr>
          <w:w w:val="105"/>
          <w:sz w:val="25"/>
        </w:rPr>
        <w:t>ff*tf6erJ§oori for appellant. </w:t>
      </w:r>
      <w:r>
        <w:rPr>
          <w:i/>
          <w:w w:val="105"/>
          <w:sz w:val="25"/>
        </w:rPr>
        <w:t>Lawrence A. </w:t>
      </w:r>
      <w:r>
        <w:rPr>
          <w:i/>
          <w:w w:val="105"/>
          <w:sz w:val="25"/>
        </w:rPr>
        <w:t>Morgan </w:t>
      </w:r>
      <w:r>
        <w:rPr>
          <w:w w:val="105"/>
          <w:sz w:val="25"/>
        </w:rPr>
        <w:t>for appellee.</w:t>
      </w:r>
    </w:p>
    <w:p>
      <w:pPr>
        <w:pStyle w:val="BodyText"/>
        <w:spacing w:before="4"/>
        <w:rPr>
          <w:sz w:val="25"/>
        </w:rPr>
      </w:pPr>
    </w:p>
    <w:p>
      <w:pPr>
        <w:tabs>
          <w:tab w:pos="2254" w:val="left" w:leader="none"/>
        </w:tabs>
        <w:spacing w:before="0"/>
        <w:ind w:left="456" w:right="0" w:firstLine="0"/>
        <w:jc w:val="center"/>
        <w:rPr>
          <w:sz w:val="23"/>
        </w:rPr>
      </w:pPr>
      <w:r>
        <w:rPr>
          <w:sz w:val="23"/>
        </w:rPr>
        <w:t>MR.</w:t>
      </w:r>
      <w:r>
        <w:rPr>
          <w:spacing w:val="34"/>
          <w:sz w:val="23"/>
        </w:rPr>
        <w:t> </w:t>
      </w:r>
      <w:r>
        <w:rPr>
          <w:sz w:val="23"/>
        </w:rPr>
        <w:t>JUSTICE</w:t>
        <w:tab/>
        <w:t>ARDSWORTH delivered the opinion</w:t>
      </w:r>
      <w:r>
        <w:rPr>
          <w:spacing w:val="21"/>
          <w:sz w:val="23"/>
        </w:rPr>
        <w:t> </w:t>
      </w:r>
      <w:r>
        <w:rPr>
          <w:sz w:val="23"/>
        </w:rPr>
        <w:t>of</w:t>
      </w:r>
    </w:p>
    <w:p>
      <w:pPr>
        <w:spacing w:before="5"/>
        <w:ind w:left="341" w:right="0" w:firstLine="0"/>
        <w:jc w:val="left"/>
        <w:rPr>
          <w:sz w:val="25"/>
        </w:rPr>
      </w:pPr>
      <w:r>
        <w:rPr>
          <w:w w:val="105"/>
          <w:sz w:val="25"/>
        </w:rPr>
        <w:t>the Court.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62" w:right="0" w:firstLine="0"/>
        <w:jc w:val="center"/>
        <w:rPr>
          <w:sz w:val="25"/>
        </w:rPr>
      </w:pPr>
      <w:r>
        <w:rPr>
          <w:sz w:val="25"/>
        </w:rPr>
        <w:t>Appellee in the above-entitled cause of action, one of</w:t>
      </w:r>
    </w:p>
    <w:sectPr>
      <w:type w:val="continuous"/>
      <w:pgSz w:w="8620" w:h="12960"/>
      <w:pgMar w:top="1220" w:bottom="280" w:left="11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10"/>
        <w:jc w:val="left"/>
      </w:pPr>
      <w:rPr>
        <w:rFonts w:hint="default" w:ascii="Times New Roman" w:hAnsi="Times New Roman" w:eastAsia="Times New Roman" w:cs="Times New Roman"/>
        <w:w w:val="10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2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4" w:hanging="2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6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8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0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2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4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6" w:hanging="2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213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213"/>
      <w:jc w:val="center"/>
      <w:outlineLvl w:val="2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6"/>
      <w:ind w:left="492" w:right="271"/>
      <w:jc w:val="center"/>
    </w:pPr>
    <w:rPr>
      <w:rFonts w:ascii="Times New Roman" w:hAnsi="Times New Roman" w:eastAsia="Times New Roman" w:cs="Times New Roman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525" w:hanging="21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2023-05-17T15:01:49Z</dcterms:created>
  <dcterms:modified xsi:type="dcterms:W3CDTF">2023-05-17T15:01:49Z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2011-05-31T00:00:00Z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2023-05-17T00:00:00Z</vt:filetime>
  </property>
</Properties>
</file>