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Heading1"/>
        <w:tabs>
          <w:tab w:pos="1344" w:val="left" w:leader="none"/>
          <w:tab w:pos="2702" w:val="left" w:leader="none"/>
          <w:tab w:pos="4060" w:val="left" w:leader="none"/>
          <w:tab w:pos="4478" w:val="left" w:leader="none"/>
          <w:tab w:pos="6035" w:val="left" w:leader="none"/>
        </w:tabs>
        <w:spacing w:before="251"/>
        <w:ind w:left="270"/>
      </w:pPr>
      <w:r>
        <w:rPr>
          <w:w w:val="105"/>
        </w:rPr>
        <w:t>LOUI</w:t>
      </w:r>
      <w:r>
        <w:rPr>
          <w:spacing w:val="-36"/>
          <w:w w:val="105"/>
        </w:rPr>
        <w:t> </w:t>
      </w:r>
      <w:r>
        <w:rPr>
          <w:w w:val="105"/>
        </w:rPr>
        <w:t>S</w:t>
        <w:tab/>
        <w:t>P</w:t>
      </w:r>
      <w:r>
        <w:rPr>
          <w:spacing w:val="-17"/>
          <w:w w:val="105"/>
        </w:rPr>
        <w:t> </w:t>
      </w:r>
      <w:r>
        <w:rPr>
          <w:w w:val="105"/>
        </w:rPr>
        <w:t>I</w:t>
      </w:r>
      <w:r>
        <w:rPr>
          <w:spacing w:val="-28"/>
          <w:w w:val="105"/>
        </w:rPr>
        <w:t> </w:t>
      </w:r>
      <w:r>
        <w:rPr>
          <w:w w:val="105"/>
        </w:rPr>
        <w:t>COUT,</w:t>
        <w:tab/>
        <w:t>A</w:t>
      </w:r>
      <w:r>
        <w:rPr>
          <w:spacing w:val="-34"/>
          <w:w w:val="105"/>
        </w:rPr>
        <w:t> </w:t>
      </w:r>
      <w:r>
        <w:rPr>
          <w:w w:val="105"/>
        </w:rPr>
        <w:t>ppellant,</w:t>
        <w:tab/>
        <w:t>e.</w:t>
        <w:tab/>
        <w:t>WILLIAM</w:t>
        <w:tab/>
        <w:t>DI</w:t>
      </w:r>
    </w:p>
    <w:p>
      <w:pPr>
        <w:spacing w:line="283" w:lineRule="exact" w:before="0"/>
        <w:ind w:left="265" w:right="0" w:firstLine="0"/>
        <w:jc w:val="center"/>
        <w:rPr>
          <w:sz w:val="25"/>
        </w:rPr>
      </w:pPr>
      <w:r>
        <w:rPr>
          <w:w w:val="105"/>
          <w:sz w:val="25"/>
        </w:rPr>
        <w:t>GRADO, Appellee.</w:t>
      </w:r>
    </w:p>
    <w:p>
      <w:pPr>
        <w:spacing w:line="300" w:lineRule="auto" w:before="203"/>
        <w:ind w:left="275" w:right="0" w:firstLine="0"/>
        <w:jc w:val="center"/>
        <w:rPr>
          <w:rFonts w:ascii="Courier New"/>
          <w:sz w:val="17"/>
        </w:rPr>
      </w:pPr>
      <w:r>
        <w:rPr>
          <w:rFonts w:ascii="Courier New"/>
          <w:w w:val="105"/>
          <w:sz w:val="17"/>
        </w:rPr>
        <w:t>APPEAk</w:t>
      </w:r>
      <w:r>
        <w:rPr>
          <w:rFonts w:ascii="Courier New"/>
          <w:spacing w:val="-45"/>
          <w:w w:val="105"/>
          <w:sz w:val="17"/>
        </w:rPr>
        <w:t> </w:t>
      </w:r>
      <w:r>
        <w:rPr>
          <w:rFonts w:ascii="Courier New"/>
          <w:w w:val="105"/>
          <w:sz w:val="17"/>
        </w:rPr>
        <w:t>FROM</w:t>
      </w:r>
      <w:r>
        <w:rPr>
          <w:rFonts w:ascii="Courier New"/>
          <w:spacing w:val="-41"/>
          <w:w w:val="105"/>
          <w:sz w:val="17"/>
        </w:rPr>
        <w:t> </w:t>
      </w:r>
      <w:r>
        <w:rPr>
          <w:rFonts w:ascii="Courier New"/>
          <w:w w:val="105"/>
          <w:sz w:val="17"/>
        </w:rPr>
        <w:t>THR</w:t>
      </w:r>
      <w:r>
        <w:rPr>
          <w:rFonts w:ascii="Courier New"/>
          <w:spacing w:val="-28"/>
          <w:w w:val="105"/>
          <w:sz w:val="17"/>
        </w:rPr>
        <w:t> </w:t>
      </w:r>
      <w:r>
        <w:rPr>
          <w:rFonts w:ascii="Courier New"/>
          <w:w w:val="105"/>
          <w:sz w:val="17"/>
        </w:rPr>
        <w:t>CIRCUIT</w:t>
      </w:r>
      <w:r>
        <w:rPr>
          <w:rFonts w:ascii="Courier New"/>
          <w:spacing w:val="-52"/>
          <w:w w:val="105"/>
          <w:sz w:val="17"/>
        </w:rPr>
        <w:t> </w:t>
      </w:r>
      <w:r>
        <w:rPr>
          <w:rFonts w:ascii="Courier New"/>
          <w:w w:val="105"/>
          <w:sz w:val="17"/>
        </w:rPr>
        <w:t>COURT</w:t>
      </w:r>
      <w:r>
        <w:rPr>
          <w:rFonts w:ascii="Courier New"/>
          <w:spacing w:val="-49"/>
          <w:w w:val="105"/>
          <w:sz w:val="17"/>
        </w:rPr>
        <w:t> </w:t>
      </w:r>
      <w:r>
        <w:rPr>
          <w:rFonts w:ascii="Courier New"/>
          <w:w w:val="105"/>
          <w:sz w:val="17"/>
        </w:rPr>
        <w:t>OF</w:t>
      </w:r>
      <w:r>
        <w:rPr>
          <w:rFonts w:ascii="Courier New"/>
          <w:spacing w:val="-54"/>
          <w:w w:val="105"/>
          <w:sz w:val="17"/>
        </w:rPr>
        <w:t> </w:t>
      </w:r>
      <w:r>
        <w:rPr>
          <w:rFonts w:ascii="Courier New"/>
          <w:w w:val="105"/>
          <w:sz w:val="17"/>
        </w:rPr>
        <w:t>THB</w:t>
      </w:r>
      <w:r>
        <w:rPr>
          <w:rFonts w:ascii="Courier New"/>
          <w:spacing w:val="-20"/>
          <w:w w:val="105"/>
          <w:sz w:val="17"/>
        </w:rPr>
        <w:t> </w:t>
      </w:r>
      <w:r>
        <w:rPr>
          <w:rFonts w:ascii="Courier New"/>
          <w:w w:val="105"/>
          <w:sz w:val="17"/>
        </w:rPr>
        <w:t>SIXTH</w:t>
      </w:r>
      <w:r>
        <w:rPr>
          <w:rFonts w:ascii="Courier New"/>
          <w:spacing w:val="-45"/>
          <w:w w:val="105"/>
          <w:sz w:val="17"/>
        </w:rPr>
        <w:t> </w:t>
      </w:r>
      <w:r>
        <w:rPr>
          <w:rFonts w:ascii="Courier New"/>
          <w:w w:val="105"/>
          <w:sz w:val="17"/>
        </w:rPr>
        <w:t>JUDICIAL</w:t>
      </w:r>
      <w:r>
        <w:rPr>
          <w:rFonts w:ascii="Courier New"/>
          <w:spacing w:val="-34"/>
          <w:w w:val="105"/>
          <w:sz w:val="17"/>
        </w:rPr>
        <w:t> </w:t>
      </w:r>
      <w:r>
        <w:rPr>
          <w:rFonts w:ascii="Courier New"/>
          <w:w w:val="105"/>
          <w:sz w:val="17"/>
        </w:rPr>
        <w:t>CIRCUIT, MONTSERRADO</w:t>
      </w:r>
      <w:r>
        <w:rPr>
          <w:rFonts w:ascii="Courier New"/>
          <w:spacing w:val="5"/>
          <w:w w:val="105"/>
          <w:sz w:val="17"/>
        </w:rPr>
        <w:t> </w:t>
      </w:r>
      <w:r>
        <w:rPr>
          <w:rFonts w:ascii="Courier New"/>
          <w:w w:val="105"/>
          <w:sz w:val="17"/>
        </w:rPr>
        <w:t>COUNTY.</w:t>
      </w:r>
    </w:p>
    <w:p>
      <w:pPr>
        <w:spacing w:before="110"/>
        <w:ind w:left="270" w:right="0" w:firstLine="0"/>
        <w:jc w:val="center"/>
        <w:rPr>
          <w:sz w:val="17"/>
        </w:rPr>
      </w:pPr>
      <w:r>
        <w:rPr>
          <w:sz w:val="17"/>
        </w:rPr>
        <w:t>Argued April 2, 1962. Decided June 1, 1962.</w:t>
      </w:r>
    </w:p>
    <w:p>
      <w:pPr>
        <w:pStyle w:val="BodyText"/>
        <w:spacing w:before="4"/>
        <w:rPr>
          <w:sz w:val="14"/>
        </w:rPr>
      </w:pPr>
    </w:p>
    <w:p>
      <w:pPr>
        <w:spacing w:line="247" w:lineRule="auto" w:before="0"/>
        <w:ind w:left="532" w:right="121" w:hanging="153"/>
        <w:jc w:val="both"/>
        <w:rPr>
          <w:sz w:val="17"/>
        </w:rPr>
      </w:pPr>
      <w:r>
        <w:rPr>
          <w:w w:val="105"/>
          <w:sz w:val="17"/>
        </w:rPr>
        <w:t>The Supreme Court will not consider the brief of an appellant  who  was absent when his case on appeal was called for hearing, and the Court will grant the appellee’s motion to dismiss such an appellant's case on</w:t>
      </w:r>
      <w:r>
        <w:rPr>
          <w:spacing w:val="32"/>
          <w:w w:val="105"/>
          <w:sz w:val="17"/>
        </w:rPr>
        <w:t> </w:t>
      </w:r>
      <w:r>
        <w:rPr>
          <w:w w:val="105"/>
          <w:sz w:val="17"/>
        </w:rPr>
        <w:t>appeal.</w:t>
      </w:r>
    </w:p>
    <w:p>
      <w:pPr>
        <w:pStyle w:val="BodyText"/>
        <w:spacing w:before="1"/>
        <w:rPr>
          <w:sz w:val="16"/>
        </w:rPr>
      </w:pPr>
    </w:p>
    <w:p>
      <w:pPr>
        <w:spacing w:line="240" w:lineRule="auto" w:before="0"/>
        <w:ind w:left="371" w:right="110" w:firstLine="251"/>
        <w:jc w:val="both"/>
        <w:rPr>
          <w:i/>
          <w:sz w:val="23"/>
        </w:rPr>
      </w:pPr>
      <w:r>
        <w:rPr>
          <w:sz w:val="25"/>
        </w:rPr>
        <w:t>Appellee, as plaintiff in the court below, instituted an </w:t>
      </w:r>
      <w:r>
        <w:rPr>
          <w:sz w:val="24"/>
        </w:rPr>
        <w:t>action of debt against appellant, who  thereupon  appeared </w:t>
      </w:r>
      <w:r>
        <w:rPr>
          <w:sz w:val="25"/>
        </w:rPr>
        <w:t>only to the extent of contesting  the  court’s  jurisdiction over his person.  Judgment having been  rendered  against </w:t>
      </w:r>
      <w:r>
        <w:rPr>
          <w:sz w:val="24"/>
        </w:rPr>
        <w:t>the defendant, he perfected an  appeal,  but  f ailed  to  ap- </w:t>
      </w:r>
      <w:r>
        <w:rPr>
          <w:sz w:val="25"/>
        </w:rPr>
        <w:t>pear, either by counsel or in person, at the hearing before  the Supreme Court. Upon appellee’s  motion,  the  judg- </w:t>
      </w:r>
      <w:r>
        <w:rPr>
          <w:i/>
          <w:sz w:val="23"/>
        </w:rPr>
        <w:t>ment </w:t>
      </w:r>
      <w:r>
        <w:rPr>
          <w:sz w:val="23"/>
        </w:rPr>
        <w:t>was </w:t>
      </w:r>
      <w:r>
        <w:rPr>
          <w:i/>
          <w:spacing w:val="3"/>
          <w:sz w:val="23"/>
        </w:rPr>
        <w:t>affrmed </w:t>
      </w:r>
      <w:r>
        <w:rPr>
          <w:sz w:val="23"/>
        </w:rPr>
        <w:t>and the </w:t>
      </w:r>
      <w:r>
        <w:rPr>
          <w:i/>
          <w:sz w:val="23"/>
        </w:rPr>
        <w:t>a p peal</w:t>
      </w:r>
      <w:r>
        <w:rPr>
          <w:i/>
          <w:spacing w:val="1"/>
          <w:sz w:val="23"/>
        </w:rPr>
        <w:t> </w:t>
      </w:r>
      <w:r>
        <w:rPr>
          <w:i/>
          <w:sz w:val="23"/>
        </w:rPr>
        <w:t>dismissed.</w:t>
      </w:r>
    </w:p>
    <w:p>
      <w:pPr>
        <w:pStyle w:val="BodyText"/>
        <w:spacing w:before="7"/>
        <w:rPr>
          <w:i/>
          <w:sz w:val="25"/>
        </w:rPr>
      </w:pPr>
    </w:p>
    <w:p>
      <w:pPr>
        <w:pStyle w:val="BodyText"/>
        <w:tabs>
          <w:tab w:pos="4233" w:val="left" w:leader="none"/>
          <w:tab w:pos="5872" w:val="left" w:leader="none"/>
        </w:tabs>
        <w:ind w:left="623"/>
        <w:rPr>
          <w:i/>
        </w:rPr>
      </w:pPr>
      <w:r>
        <w:rPr>
          <w:w w:val="110"/>
        </w:rPr>
        <w:t>No   appearance  for</w:t>
      </w:r>
      <w:r>
        <w:rPr>
          <w:spacing w:val="54"/>
          <w:w w:val="110"/>
        </w:rPr>
        <w:t> </w:t>
      </w:r>
      <w:r>
        <w:rPr>
          <w:w w:val="110"/>
        </w:rPr>
        <w:t>ap</w:t>
      </w:r>
      <w:r>
        <w:rPr>
          <w:spacing w:val="-30"/>
          <w:w w:val="110"/>
        </w:rPr>
        <w:t> </w:t>
      </w:r>
      <w:r>
        <w:rPr>
          <w:w w:val="110"/>
        </w:rPr>
        <w:t>pellant.</w:t>
        <w:tab/>
        <w:t>fncdonnfd </w:t>
      </w:r>
      <w:r>
        <w:rPr>
          <w:spacing w:val="9"/>
          <w:w w:val="110"/>
        </w:rPr>
        <w:t> </w:t>
      </w:r>
      <w:r>
        <w:rPr>
          <w:w w:val="110"/>
        </w:rPr>
        <w:t>If.</w:t>
        <w:tab/>
      </w:r>
      <w:r>
        <w:rPr>
          <w:i/>
          <w:w w:val="110"/>
        </w:rPr>
        <w:t>Perry</w:t>
      </w:r>
    </w:p>
    <w:p>
      <w:pPr>
        <w:pStyle w:val="BodyText"/>
        <w:spacing w:before="19"/>
        <w:ind w:left="376"/>
      </w:pPr>
      <w:r>
        <w:rPr>
          <w:w w:val="110"/>
        </w:rPr>
        <w:t>for appellee.</w:t>
      </w:r>
    </w:p>
    <w:p>
      <w:pPr>
        <w:pStyle w:val="BodyText"/>
        <w:spacing w:before="5"/>
        <w:rPr>
          <w:sz w:val="25"/>
        </w:rPr>
      </w:pPr>
    </w:p>
    <w:p>
      <w:pPr>
        <w:pStyle w:val="BodyText"/>
        <w:ind w:left="626"/>
      </w:pPr>
      <w:r>
        <w:rPr>
          <w:w w:val="105"/>
        </w:rPr>
        <w:t>MR. JUSTICE MITCHELL delivered the opinion of the</w:t>
      </w:r>
    </w:p>
    <w:p>
      <w:pPr>
        <w:pStyle w:val="Heading2"/>
        <w:spacing w:before="9"/>
        <w:ind w:firstLine="0"/>
        <w:jc w:val="left"/>
      </w:pPr>
      <w:r>
        <w:rPr>
          <w:w w:val="110"/>
        </w:rPr>
        <w:t>Court.</w:t>
      </w:r>
    </w:p>
    <w:p>
      <w:pPr>
        <w:pStyle w:val="BodyText"/>
        <w:spacing w:before="7"/>
        <w:rPr>
          <w:sz w:val="25"/>
        </w:rPr>
      </w:pPr>
    </w:p>
    <w:p>
      <w:pPr>
        <w:spacing w:line="230" w:lineRule="auto" w:before="0"/>
        <w:ind w:left="386" w:right="105" w:firstLine="230"/>
        <w:jc w:val="both"/>
        <w:rPr>
          <w:sz w:val="24"/>
        </w:rPr>
      </w:pPr>
      <w:r>
        <w:rPr>
          <w:w w:val="105"/>
          <w:sz w:val="24"/>
        </w:rPr>
        <w:t>William Di Grado sued out an action of debt in the March, </w:t>
      </w:r>
      <w:r>
        <w:rPr>
          <w:w w:val="105"/>
          <w:position w:val="-3"/>
          <w:sz w:val="24"/>
        </w:rPr>
        <w:t>'9s </w:t>
      </w:r>
      <w:r>
        <w:rPr>
          <w:w w:val="105"/>
          <w:sz w:val="24"/>
        </w:rPr>
        <w:t>6, term against Louis Picout, defendant below, now appellant. Judgment was rendered against the</w:t>
      </w:r>
      <w:r>
        <w:rPr>
          <w:spacing w:val="43"/>
          <w:w w:val="105"/>
          <w:sz w:val="24"/>
        </w:rPr>
        <w:t> </w:t>
      </w:r>
      <w:r>
        <w:rPr>
          <w:w w:val="105"/>
          <w:sz w:val="24"/>
        </w:rPr>
        <w:t>said</w:t>
      </w:r>
    </w:p>
    <w:p>
      <w:pPr>
        <w:spacing w:line="242" w:lineRule="auto" w:before="11"/>
        <w:ind w:left="387" w:right="122" w:hanging="6"/>
        <w:jc w:val="both"/>
        <w:rPr>
          <w:sz w:val="24"/>
        </w:rPr>
      </w:pPr>
      <w:r>
        <w:rPr>
          <w:w w:val="105"/>
          <w:sz w:val="24"/>
        </w:rPr>
        <w:t>defendant; and it is from this judgment that the appellant has appealed to this Court on a bill of exceptions con- taining eleven</w:t>
      </w:r>
      <w:r>
        <w:rPr>
          <w:spacing w:val="21"/>
          <w:w w:val="105"/>
          <w:sz w:val="24"/>
        </w:rPr>
        <w:t> </w:t>
      </w:r>
      <w:r>
        <w:rPr>
          <w:w w:val="105"/>
          <w:sz w:val="24"/>
        </w:rPr>
        <w:t>counts.</w:t>
      </w:r>
    </w:p>
    <w:p>
      <w:pPr>
        <w:spacing w:line="244" w:lineRule="auto" w:before="0"/>
        <w:ind w:left="376" w:right="110" w:firstLine="235"/>
        <w:jc w:val="both"/>
        <w:rPr>
          <w:sz w:val="24"/>
        </w:rPr>
      </w:pPr>
      <w:r>
        <w:rPr>
          <w:w w:val="110"/>
          <w:sz w:val="24"/>
        </w:rPr>
        <w:t>The records disclose that, when summoned, the said defendant neither filed a formal appearance nor answered as the law requires, but sat supinely until the expiration</w:t>
      </w:r>
      <w:r>
        <w:rPr>
          <w:spacing w:val="66"/>
          <w:w w:val="110"/>
          <w:sz w:val="24"/>
        </w:rPr>
        <w:t> </w:t>
      </w:r>
      <w:r>
        <w:rPr>
          <w:w w:val="110"/>
          <w:sz w:val="24"/>
        </w:rPr>
        <w:t>of the time prescribed by law within which to file</w:t>
      </w:r>
      <w:r>
        <w:rPr>
          <w:spacing w:val="60"/>
          <w:w w:val="110"/>
          <w:sz w:val="24"/>
        </w:rPr>
        <w:t> </w:t>
      </w:r>
      <w:r>
        <w:rPr>
          <w:w w:val="110"/>
          <w:sz w:val="24"/>
        </w:rPr>
        <w:t>the</w:t>
      </w:r>
    </w:p>
    <w:p>
      <w:pPr>
        <w:spacing w:before="39"/>
        <w:ind w:left="267" w:right="0" w:firstLine="0"/>
        <w:jc w:val="center"/>
        <w:rPr>
          <w:rFonts w:ascii="Courier New"/>
          <w:sz w:val="20"/>
        </w:rPr>
      </w:pPr>
      <w:r>
        <w:rPr>
          <w:rFonts w:ascii="Courier New"/>
          <w:w w:val="80"/>
          <w:sz w:val="20"/>
        </w:rPr>
        <w:t>13</w:t>
      </w:r>
    </w:p>
    <w:p>
      <w:pPr>
        <w:spacing w:after="0"/>
        <w:jc w:val="center"/>
        <w:rPr>
          <w:rFonts w:ascii="Courier New"/>
          <w:sz w:val="20"/>
        </w:rPr>
        <w:sectPr>
          <w:type w:val="continuous"/>
          <w:pgSz w:w="8620" w:h="12960"/>
          <w:pgMar w:top="1220" w:bottom="280" w:left="1100" w:right="940"/>
        </w:sectPr>
      </w:pPr>
    </w:p>
    <w:p>
      <w:pPr>
        <w:tabs>
          <w:tab w:pos="1737" w:val="left" w:leader="none"/>
        </w:tabs>
        <w:spacing w:before="69"/>
        <w:ind w:left="126" w:right="0" w:firstLine="0"/>
        <w:jc w:val="left"/>
        <w:rPr>
          <w:sz w:val="21"/>
        </w:rPr>
      </w:pPr>
      <w:r>
        <w:rPr>
          <w:w w:val="110"/>
          <w:sz w:val="21"/>
        </w:rPr>
        <w:t>14</w:t>
        <w:tab/>
        <w:t>LIBERIAN LAW</w:t>
      </w:r>
      <w:r>
        <w:rPr>
          <w:spacing w:val="54"/>
          <w:w w:val="110"/>
          <w:sz w:val="21"/>
        </w:rPr>
        <w:t> </w:t>
      </w:r>
      <w:r>
        <w:rPr>
          <w:w w:val="110"/>
          <w:sz w:val="21"/>
        </w:rPr>
        <w:t>REPORTS</w:t>
      </w:r>
    </w:p>
    <w:p>
      <w:pPr>
        <w:pStyle w:val="BodyText"/>
        <w:spacing w:line="252" w:lineRule="auto" w:before="148"/>
        <w:ind w:left="118" w:right="391" w:firstLine="2"/>
        <w:jc w:val="both"/>
      </w:pPr>
      <w:r>
        <w:rPr>
          <w:w w:val="110"/>
        </w:rPr>
        <w:t>same, then undertook to file a special appearance, as he termed it, contesting the jurisdiction of the court below over his person—a very strange and interesting issue to be expatiated upon in this  opinion  if  we  enjoyed  the  right to do</w:t>
      </w:r>
      <w:r>
        <w:rPr>
          <w:spacing w:val="51"/>
          <w:w w:val="110"/>
        </w:rPr>
        <w:t> </w:t>
      </w:r>
      <w:r>
        <w:rPr>
          <w:w w:val="110"/>
        </w:rPr>
        <w:t>so.</w:t>
      </w:r>
    </w:p>
    <w:p>
      <w:pPr>
        <w:pStyle w:val="BodyText"/>
        <w:spacing w:line="254" w:lineRule="auto" w:before="13"/>
        <w:ind w:left="115" w:right="403" w:firstLine="242"/>
        <w:jc w:val="both"/>
      </w:pPr>
      <w:r>
        <w:rPr>
          <w:w w:val="110"/>
        </w:rPr>
        <w:t>When the case was reached on our assignment bulletin, the Court ordered the clerk to  issue  written  assignment for hearing. Counsel were formally notified ; but  at  the call of the case at the specified time, neither appellant nor his counsel appeared. Thereupon, appellee’s  counsel, being present, proceeded to argue his side of the case, and cited a rule of this Court, from which we quote in perti- nent</w:t>
      </w:r>
      <w:r>
        <w:rPr>
          <w:spacing w:val="56"/>
          <w:w w:val="110"/>
        </w:rPr>
        <w:t> </w:t>
      </w:r>
      <w:r>
        <w:rPr>
          <w:w w:val="110"/>
        </w:rPr>
        <w:t>part:</w:t>
      </w:r>
    </w:p>
    <w:p>
      <w:pPr>
        <w:spacing w:line="249" w:lineRule="auto" w:before="0"/>
        <w:ind w:left="478" w:right="395" w:firstLine="248"/>
        <w:jc w:val="both"/>
        <w:rPr>
          <w:sz w:val="25"/>
        </w:rPr>
      </w:pPr>
      <w:r>
        <w:rPr>
          <w:w w:val="105"/>
          <w:sz w:val="24"/>
        </w:rPr>
        <w:t>“When a case which has been bulletined is reached </w:t>
      </w:r>
      <w:r>
        <w:rPr>
          <w:w w:val="105"/>
          <w:sz w:val="23"/>
        </w:rPr>
        <w:t>for argument and neither party appears, it may be dismissed at  the  cost  of  the</w:t>
      </w:r>
      <w:r>
        <w:rPr>
          <w:spacing w:val="60"/>
          <w:w w:val="105"/>
          <w:sz w:val="23"/>
        </w:rPr>
        <w:t> </w:t>
      </w:r>
      <w:r>
        <w:rPr>
          <w:w w:val="105"/>
          <w:sz w:val="23"/>
        </w:rPr>
        <w:t>appellant.  If  the  appel- lant Iails to appear when the case is called  for  hearing, the Court may, on motion of appellee or on its own </w:t>
      </w:r>
      <w:r>
        <w:rPr>
          <w:w w:val="105"/>
          <w:sz w:val="24"/>
        </w:rPr>
        <w:t>motion, dismiss the </w:t>
      </w:r>
      <w:r>
        <w:rPr>
          <w:w w:val="120"/>
          <w:sz w:val="24"/>
        </w:rPr>
        <w:t>appeal.... </w:t>
      </w:r>
      <w:r>
        <w:rPr>
          <w:w w:val="105"/>
          <w:sz w:val="24"/>
        </w:rPr>
        <w:t>Appellee’s failure to </w:t>
      </w:r>
      <w:r>
        <w:rPr>
          <w:w w:val="105"/>
          <w:sz w:val="23"/>
        </w:rPr>
        <w:t>appear after assignment will be sufficient cause for the Court to proceed to hear the argument of the  appellant </w:t>
      </w:r>
      <w:r>
        <w:rPr>
          <w:w w:val="105"/>
          <w:sz w:val="25"/>
        </w:rPr>
        <w:t>and rule thereon.” R. Sup. Ct. IV </w:t>
      </w:r>
      <w:r>
        <w:rPr>
          <w:spacing w:val="6"/>
          <w:w w:val="105"/>
          <w:position w:val="2"/>
          <w:sz w:val="25"/>
        </w:rPr>
        <w:t>(6</w:t>
      </w:r>
      <w:r>
        <w:rPr>
          <w:spacing w:val="6"/>
          <w:w w:val="105"/>
          <w:position w:val="-2"/>
          <w:sz w:val="25"/>
        </w:rPr>
        <w:t>) </w:t>
      </w:r>
      <w:r>
        <w:rPr>
          <w:w w:val="105"/>
          <w:position w:val="-3"/>
          <w:sz w:val="25"/>
        </w:rPr>
        <w:t>. 3</w:t>
      </w:r>
      <w:r>
        <w:rPr>
          <w:spacing w:val="10"/>
          <w:w w:val="105"/>
          <w:position w:val="-3"/>
          <w:sz w:val="25"/>
        </w:rPr>
        <w:t> </w:t>
      </w:r>
      <w:r>
        <w:rPr>
          <w:w w:val="105"/>
          <w:sz w:val="25"/>
        </w:rPr>
        <w:t>L.L.R.</w:t>
      </w:r>
    </w:p>
    <w:p>
      <w:pPr>
        <w:spacing w:line="227" w:lineRule="exact" w:before="0"/>
        <w:ind w:left="479" w:right="0" w:firstLine="0"/>
        <w:jc w:val="left"/>
        <w:rPr>
          <w:sz w:val="26"/>
        </w:rPr>
      </w:pPr>
      <w:r>
        <w:rPr>
          <w:sz w:val="26"/>
        </w:rPr>
        <w:t>6gy-6g8.</w:t>
      </w:r>
    </w:p>
    <w:p>
      <w:pPr>
        <w:spacing w:line="252" w:lineRule="auto" w:before="2"/>
        <w:ind w:left="122" w:right="397" w:firstLine="236"/>
        <w:jc w:val="both"/>
        <w:rPr>
          <w:sz w:val="23"/>
        </w:rPr>
      </w:pPr>
      <w:r>
        <w:rPr>
          <w:w w:val="105"/>
          <w:sz w:val="23"/>
        </w:rPr>
        <w:t>This rule is mandatory and positive ; and it leaves this Court with no option to exercise discretion when</w:t>
      </w:r>
      <w:r>
        <w:rPr>
          <w:spacing w:val="60"/>
          <w:w w:val="105"/>
          <w:sz w:val="23"/>
        </w:rPr>
        <w:t> </w:t>
      </w:r>
      <w:r>
        <w:rPr>
          <w:w w:val="105"/>
          <w:sz w:val="23"/>
        </w:rPr>
        <w:t>it  is </w:t>
      </w:r>
      <w:r>
        <w:rPr>
          <w:w w:val="105"/>
          <w:sz w:val="24"/>
        </w:rPr>
        <w:t>invoked by either of the contending parties ; therefore, </w:t>
      </w:r>
      <w:r>
        <w:rPr>
          <w:w w:val="105"/>
          <w:sz w:val="23"/>
        </w:rPr>
        <w:t>although it is shown by the records that both of the parties filed briefs, yet in strict adherence</w:t>
      </w:r>
      <w:r>
        <w:rPr>
          <w:spacing w:val="60"/>
          <w:w w:val="105"/>
          <w:sz w:val="23"/>
        </w:rPr>
        <w:t> </w:t>
      </w:r>
      <w:r>
        <w:rPr>
          <w:w w:val="105"/>
          <w:sz w:val="23"/>
        </w:rPr>
        <w:t>to  the  rule  quoted,  which governs and controls</w:t>
      </w:r>
      <w:r>
        <w:rPr>
          <w:spacing w:val="60"/>
          <w:w w:val="105"/>
          <w:sz w:val="23"/>
        </w:rPr>
        <w:t> </w:t>
      </w:r>
      <w:r>
        <w:rPr>
          <w:w w:val="105"/>
          <w:sz w:val="23"/>
        </w:rPr>
        <w:t>our  practice,  we  have  no </w:t>
      </w:r>
      <w:r>
        <w:rPr>
          <w:w w:val="105"/>
          <w:sz w:val="24"/>
        </w:rPr>
        <w:t>choice other than to dismiss the appeal and affirm the </w:t>
      </w:r>
      <w:r>
        <w:rPr>
          <w:w w:val="105"/>
          <w:sz w:val="23"/>
        </w:rPr>
        <w:t>judgment of the court below with costs against the  appel- lant. And it is hereby so</w:t>
      </w:r>
      <w:r>
        <w:rPr>
          <w:spacing w:val="-10"/>
          <w:w w:val="105"/>
          <w:sz w:val="23"/>
        </w:rPr>
        <w:t> </w:t>
      </w:r>
      <w:r>
        <w:rPr>
          <w:w w:val="105"/>
          <w:sz w:val="23"/>
        </w:rPr>
        <w:t>ordered.</w:t>
      </w:r>
    </w:p>
    <w:p>
      <w:pPr>
        <w:spacing w:before="15"/>
        <w:ind w:left="4262" w:right="0" w:firstLine="0"/>
        <w:jc w:val="left"/>
        <w:rPr>
          <w:i/>
          <w:sz w:val="21"/>
        </w:rPr>
      </w:pPr>
      <w:r>
        <w:rPr>
          <w:i/>
          <w:w w:val="105"/>
          <w:sz w:val="21"/>
        </w:rPr>
        <w:t>H p p eal dismissed.</w:t>
      </w:r>
    </w:p>
    <w:sectPr>
      <w:pgSz w:w="8620" w:h="12960"/>
      <w:pgMar w:top="440" w:bottom="280" w:left="110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spacing w:line="283" w:lineRule="exact"/>
      <w:ind w:left="265"/>
      <w:jc w:val="center"/>
      <w:outlineLvl w:val="1"/>
    </w:pPr>
    <w:rPr>
      <w:rFonts w:ascii="Times New Roman" w:hAnsi="Times New Roman" w:eastAsia="Times New Roman" w:cs="Times New Roman"/>
      <w:sz w:val="25"/>
      <w:szCs w:val="25"/>
      <w:lang w:val="en-US" w:eastAsia="en-US" w:bidi="ar-SA"/>
    </w:rPr>
  </w:style>
  <w:style w:styleId="Heading2" w:type="paragraph">
    <w:name w:val="Heading 2"/>
    <w:basedOn w:val="Normal"/>
    <w:uiPriority w:val="1"/>
    <w:qFormat/>
    <w:pPr>
      <w:ind w:left="386" w:hanging="6"/>
      <w:jc w:val="both"/>
      <w:outlineLvl w:val="2"/>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2023-05-17T15:01:42Z</dcterms:created>
  <dcterms:modified xsi:type="dcterms:W3CDTF">2023-05-17T15:01:42Z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HP Smart Document Scan Software 2.70</vt:lpwstr>
  </property>
  <property fmtid="{D5CDD505-2E9C-101B-9397-08002B2CF9AE}" pid="4" name="LastSaved">
    <vt:filetime>2023-05-17T00:00:00Z</vt:filetime>
  </property>
</Properties>
</file>