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sz w:val="20"/>
        </w:rPr>
      </w:pPr>
    </w:p>
    <w:p>
      <w:pPr>
        <w:pStyle w:val="BodyText"/>
        <w:spacing w:before="4"/>
        <w:jc w:val="left"/>
        <w:rPr>
          <w:sz w:val="27"/>
        </w:rPr>
      </w:pPr>
    </w:p>
    <w:p>
      <w:pPr>
        <w:pStyle w:val="BodyText"/>
        <w:spacing w:line="232" w:lineRule="auto" w:before="97"/>
        <w:ind w:left="286" w:right="239"/>
        <w:jc w:val="center"/>
      </w:pPr>
      <w:r>
        <w:rPr>
          <w:w w:val="105"/>
        </w:rPr>
        <w:t>GBAE GEEBY, Appellant, c. KWRAH GBAE, and CAPTAIN MCCAB E, Magisterial Officer, Magisterial District of Monrovia, Appellees.</w:t>
      </w:r>
    </w:p>
    <w:p>
      <w:pPr>
        <w:spacing w:line="285" w:lineRule="auto" w:before="210"/>
        <w:ind w:left="270" w:right="239" w:firstLine="0"/>
        <w:jc w:val="center"/>
        <w:rPr>
          <w:sz w:val="15"/>
        </w:rPr>
      </w:pPr>
      <w:r>
        <w:rPr>
          <w:w w:val="105"/>
          <w:sz w:val="15"/>
        </w:rPr>
        <w:t>APPEAL FROM  TH E  CIRC UIT  CO URT  OF  THE  SIXTH  </w:t>
      </w:r>
      <w:r>
        <w:rPr>
          <w:i/>
          <w:w w:val="105"/>
          <w:position w:val="-2"/>
          <w:sz w:val="15"/>
        </w:rPr>
        <w:t>5 </w:t>
      </w:r>
      <w:r>
        <w:rPr>
          <w:w w:val="105"/>
          <w:position w:val="-1"/>
          <w:sz w:val="15"/>
        </w:rPr>
        <w:t>&lt; </w:t>
      </w:r>
      <w:r>
        <w:rPr>
          <w:w w:val="105"/>
          <w:sz w:val="14"/>
        </w:rPr>
        <w:t>DI </w:t>
      </w:r>
      <w:r>
        <w:rPr>
          <w:w w:val="105"/>
          <w:sz w:val="15"/>
        </w:rPr>
        <w:t>CIAL  CIRC UIT,  </w:t>
      </w:r>
      <w:r>
        <w:rPr>
          <w:spacing w:val="6"/>
          <w:w w:val="105"/>
          <w:sz w:val="15"/>
        </w:rPr>
        <w:t>MO </w:t>
      </w:r>
      <w:r>
        <w:rPr>
          <w:w w:val="105"/>
          <w:sz w:val="15"/>
        </w:rPr>
        <w:t>NTSERRADO CO U</w:t>
      </w:r>
      <w:r>
        <w:rPr>
          <w:spacing w:val="-27"/>
          <w:w w:val="105"/>
          <w:sz w:val="15"/>
        </w:rPr>
        <w:t> </w:t>
      </w:r>
      <w:r>
        <w:rPr>
          <w:w w:val="105"/>
          <w:sz w:val="15"/>
        </w:rPr>
        <w:t>NTY.</w:t>
      </w:r>
    </w:p>
    <w:p>
      <w:pPr>
        <w:pStyle w:val="BodyText"/>
        <w:spacing w:before="7"/>
        <w:jc w:val="left"/>
        <w:rPr>
          <w:sz w:val="12"/>
        </w:rPr>
      </w:pPr>
    </w:p>
    <w:p>
      <w:pPr>
        <w:spacing w:before="0"/>
        <w:ind w:left="285" w:right="239" w:firstLine="0"/>
        <w:jc w:val="center"/>
        <w:rPr>
          <w:sz w:val="17"/>
        </w:rPr>
      </w:pPr>
      <w:r>
        <w:rPr>
          <w:w w:val="105"/>
          <w:sz w:val="17"/>
        </w:rPr>
        <w:t>Argued April 9, 1962. Decided June 1, 1962.</w:t>
      </w:r>
    </w:p>
    <w:p>
      <w:pPr>
        <w:spacing w:line="247" w:lineRule="auto" w:before="160"/>
        <w:ind w:left="350" w:right="137" w:hanging="145"/>
        <w:jc w:val="both"/>
        <w:rPr>
          <w:sz w:val="17"/>
        </w:rPr>
      </w:pPr>
      <w:r>
        <w:rPr>
          <w:w w:val="105"/>
          <w:sz w:val="17"/>
        </w:rPr>
        <w:t>Where a trial court has adjudged issues of law at a hearing conducted  in  the absence of plaintiff’s counsel and at a time not regularly assigned, a ruling rendered after such a  hearing  will  be  set  aside  and  the  case  remanded  for new</w:t>
      </w:r>
      <w:r>
        <w:rPr>
          <w:spacing w:val="14"/>
          <w:w w:val="105"/>
          <w:sz w:val="17"/>
        </w:rPr>
        <w:t> </w:t>
      </w:r>
      <w:r>
        <w:rPr>
          <w:w w:val="105"/>
          <w:sz w:val="17"/>
        </w:rPr>
        <w:t>trial.</w:t>
      </w:r>
    </w:p>
    <w:p>
      <w:pPr>
        <w:pStyle w:val="BodyText"/>
        <w:spacing w:line="237" w:lineRule="auto" w:before="145"/>
        <w:ind w:left="199" w:right="135" w:firstLine="239"/>
        <w:rPr>
          <w:i/>
        </w:rPr>
      </w:pPr>
      <w:r>
        <w:rPr/>
        <w:t>On appeal from a ruling dismissing an injunction for failure to comply with statutory requirements  as  to notice of venue, the proceeding was</w:t>
      </w:r>
      <w:r>
        <w:rPr>
          <w:spacing w:val="14"/>
        </w:rPr>
        <w:t> </w:t>
      </w:r>
      <w:r>
        <w:rPr>
          <w:i/>
        </w:rPr>
        <w:t>remanded.</w:t>
      </w:r>
    </w:p>
    <w:p>
      <w:pPr>
        <w:pStyle w:val="BodyText"/>
        <w:jc w:val="left"/>
        <w:rPr>
          <w:i/>
          <w:sz w:val="24"/>
        </w:rPr>
      </w:pPr>
    </w:p>
    <w:p>
      <w:pPr>
        <w:spacing w:line="247" w:lineRule="auto" w:before="0"/>
        <w:ind w:left="210" w:right="143" w:firstLine="217"/>
        <w:jc w:val="both"/>
        <w:rPr>
          <w:sz w:val="24"/>
        </w:rPr>
      </w:pPr>
      <w:r>
        <w:rPr>
          <w:i/>
          <w:w w:val="110"/>
          <w:sz w:val="24"/>
        </w:rPr>
        <w:t>William N. Withers poon </w:t>
      </w:r>
      <w:r>
        <w:rPr>
          <w:w w:val="110"/>
          <w:sz w:val="24"/>
        </w:rPr>
        <w:t>for appellant. </w:t>
      </w:r>
      <w:r>
        <w:rPr>
          <w:i/>
          <w:w w:val="110"/>
          <w:sz w:val="24"/>
        </w:rPr>
        <w:t>Jose ph F. </w:t>
      </w:r>
      <w:r>
        <w:rPr>
          <w:i/>
          <w:w w:val="110"/>
          <w:sz w:val="24"/>
        </w:rPr>
        <w:t>Denn is </w:t>
      </w:r>
      <w:r>
        <w:rPr>
          <w:w w:val="110"/>
          <w:sz w:val="24"/>
        </w:rPr>
        <w:t>for appellee.</w:t>
      </w:r>
    </w:p>
    <w:p>
      <w:pPr>
        <w:pStyle w:val="BodyText"/>
        <w:spacing w:before="1"/>
        <w:jc w:val="left"/>
        <w:rPr>
          <w:sz w:val="26"/>
        </w:rPr>
      </w:pPr>
    </w:p>
    <w:p>
      <w:pPr>
        <w:spacing w:line="261" w:lineRule="auto" w:before="0"/>
        <w:ind w:left="209" w:right="158" w:firstLine="244"/>
        <w:jc w:val="both"/>
        <w:rPr>
          <w:sz w:val="23"/>
        </w:rPr>
      </w:pPr>
      <w:r>
        <w:rPr>
          <w:w w:val="105"/>
          <w:sz w:val="23"/>
        </w:rPr>
        <w:t>MR. JUSTICE MITCHELL delivered the opinion of the Court.</w:t>
      </w:r>
    </w:p>
    <w:p>
      <w:pPr>
        <w:pStyle w:val="BodyText"/>
        <w:spacing w:before="6"/>
        <w:jc w:val="left"/>
        <w:rPr>
          <w:sz w:val="23"/>
        </w:rPr>
      </w:pPr>
    </w:p>
    <w:p>
      <w:pPr>
        <w:spacing w:line="218" w:lineRule="auto" w:before="0"/>
        <w:ind w:left="202" w:right="124" w:firstLine="237"/>
        <w:jc w:val="both"/>
        <w:rPr>
          <w:sz w:val="25"/>
        </w:rPr>
      </w:pPr>
      <w:r>
        <w:rPr>
          <w:sz w:val="25"/>
        </w:rPr>
        <w:t>The appellant in this case became dissatisfied with the ruling of the trial judge in the court below,  which  ruling was rendered against the said appellant in his absence on </w:t>
      </w:r>
      <w:r>
        <w:rPr>
          <w:sz w:val="26"/>
        </w:rPr>
        <w:t>July </w:t>
      </w:r>
      <w:r>
        <w:rPr>
          <w:position w:val="3"/>
          <w:sz w:val="26"/>
        </w:rPr>
        <w:t>i </w:t>
      </w:r>
      <w:r>
        <w:rPr>
          <w:position w:val="-2"/>
          <w:sz w:val="26"/>
        </w:rPr>
        <w:t>. </w:t>
      </w:r>
      <w:r>
        <w:rPr>
          <w:position w:val="-3"/>
          <w:sz w:val="26"/>
        </w:rPr>
        <w:t>'9f9. </w:t>
      </w:r>
      <w:r>
        <w:rPr>
          <w:sz w:val="26"/>
        </w:rPr>
        <w:t>without service of notice of the assignment </w:t>
      </w:r>
      <w:r>
        <w:rPr>
          <w:sz w:val="25"/>
        </w:rPr>
        <w:t>for</w:t>
      </w:r>
      <w:r>
        <w:rPr>
          <w:spacing w:val="10"/>
          <w:sz w:val="25"/>
        </w:rPr>
        <w:t> </w:t>
      </w:r>
      <w:r>
        <w:rPr>
          <w:sz w:val="25"/>
        </w:rPr>
        <w:t>hearing.</w:t>
      </w:r>
    </w:p>
    <w:p>
      <w:pPr>
        <w:pStyle w:val="BodyText"/>
        <w:spacing w:line="237" w:lineRule="auto"/>
        <w:ind w:left="208" w:right="119" w:firstLine="253"/>
      </w:pPr>
      <w:r>
        <w:rPr/>
        <w:t>Desiring to have the aforesaid ruling reviewed by this Court, appellant fled to the  Chambers  of  Mr.  Justice Harris with a petition in assignment of errors,  to  prose- cute a regular</w:t>
      </w:r>
      <w:r>
        <w:rPr>
          <w:spacing w:val="41"/>
        </w:rPr>
        <w:t> </w:t>
      </w:r>
      <w:r>
        <w:rPr/>
        <w:t>appeal.</w:t>
      </w:r>
    </w:p>
    <w:p>
      <w:pPr>
        <w:spacing w:line="235" w:lineRule="auto" w:before="0"/>
        <w:ind w:left="215" w:right="112" w:firstLine="249"/>
        <w:jc w:val="both"/>
        <w:rPr>
          <w:sz w:val="24"/>
        </w:rPr>
      </w:pPr>
      <w:r>
        <w:rPr>
          <w:w w:val="105"/>
          <w:sz w:val="25"/>
        </w:rPr>
        <w:t>Upon the hearing of the said petition, the grounds thereof</w:t>
      </w:r>
      <w:r>
        <w:rPr>
          <w:spacing w:val="7"/>
          <w:w w:val="105"/>
          <w:sz w:val="25"/>
        </w:rPr>
        <w:t> </w:t>
      </w:r>
      <w:r>
        <w:rPr>
          <w:w w:val="105"/>
          <w:sz w:val="25"/>
        </w:rPr>
        <w:t>being</w:t>
      </w:r>
      <w:r>
        <w:rPr>
          <w:spacing w:val="-19"/>
          <w:w w:val="105"/>
          <w:sz w:val="25"/>
        </w:rPr>
        <w:t> </w:t>
      </w:r>
      <w:r>
        <w:rPr>
          <w:w w:val="105"/>
          <w:sz w:val="25"/>
        </w:rPr>
        <w:t>considered</w:t>
      </w:r>
      <w:r>
        <w:rPr>
          <w:spacing w:val="-2"/>
          <w:w w:val="105"/>
          <w:sz w:val="25"/>
        </w:rPr>
        <w:t> </w:t>
      </w:r>
      <w:r>
        <w:rPr>
          <w:w w:val="105"/>
          <w:sz w:val="25"/>
        </w:rPr>
        <w:t>sufficient,</w:t>
      </w:r>
      <w:r>
        <w:rPr>
          <w:spacing w:val="-2"/>
          <w:w w:val="105"/>
          <w:sz w:val="25"/>
        </w:rPr>
        <w:t> </w:t>
      </w:r>
      <w:r>
        <w:rPr>
          <w:w w:val="105"/>
          <w:sz w:val="25"/>
        </w:rPr>
        <w:t>the</w:t>
      </w:r>
      <w:r>
        <w:rPr>
          <w:spacing w:val="-23"/>
          <w:w w:val="105"/>
          <w:sz w:val="25"/>
        </w:rPr>
        <w:t> </w:t>
      </w:r>
      <w:r>
        <w:rPr>
          <w:w w:val="105"/>
          <w:sz w:val="25"/>
        </w:rPr>
        <w:t>same</w:t>
      </w:r>
      <w:r>
        <w:rPr>
          <w:spacing w:val="-18"/>
          <w:w w:val="105"/>
          <w:sz w:val="25"/>
        </w:rPr>
        <w:t> </w:t>
      </w:r>
      <w:r>
        <w:rPr>
          <w:w w:val="105"/>
          <w:sz w:val="25"/>
        </w:rPr>
        <w:t>was</w:t>
      </w:r>
      <w:r>
        <w:rPr>
          <w:spacing w:val="-17"/>
          <w:w w:val="105"/>
          <w:sz w:val="25"/>
        </w:rPr>
        <w:t> </w:t>
      </w:r>
      <w:r>
        <w:rPr>
          <w:w w:val="105"/>
          <w:sz w:val="25"/>
        </w:rPr>
        <w:t>granted</w:t>
      </w:r>
      <w:r>
        <w:rPr>
          <w:spacing w:val="-34"/>
          <w:w w:val="105"/>
          <w:sz w:val="25"/>
        </w:rPr>
        <w:t> </w:t>
      </w:r>
      <w:r>
        <w:rPr>
          <w:w w:val="105"/>
          <w:sz w:val="25"/>
        </w:rPr>
        <w:t>; and upon appeal by the defendant-in-error to the Court </w:t>
      </w:r>
      <w:r>
        <w:rPr>
          <w:w w:val="105"/>
          <w:sz w:val="24"/>
        </w:rPr>
        <w:t>sitting </w:t>
      </w:r>
      <w:r>
        <w:rPr>
          <w:i/>
          <w:w w:val="105"/>
          <w:sz w:val="24"/>
        </w:rPr>
        <w:t>en banc, </w:t>
      </w:r>
      <w:r>
        <w:rPr>
          <w:w w:val="105"/>
          <w:sz w:val="24"/>
        </w:rPr>
        <w:t>the ruling of the Justice presiding</w:t>
      </w:r>
      <w:r>
        <w:rPr>
          <w:spacing w:val="8"/>
          <w:w w:val="105"/>
          <w:sz w:val="24"/>
        </w:rPr>
        <w:t> </w:t>
      </w:r>
      <w:r>
        <w:rPr>
          <w:w w:val="105"/>
          <w:sz w:val="24"/>
        </w:rPr>
        <w:t>in</w:t>
      </w:r>
    </w:p>
    <w:p>
      <w:pPr>
        <w:spacing w:before="50"/>
        <w:ind w:left="286" w:right="208" w:firstLine="0"/>
        <w:jc w:val="center"/>
        <w:rPr>
          <w:sz w:val="18"/>
        </w:rPr>
      </w:pPr>
      <w:r>
        <w:rPr>
          <w:sz w:val="18"/>
        </w:rPr>
        <w:t>2d</w:t>
      </w:r>
    </w:p>
    <w:p>
      <w:pPr>
        <w:spacing w:after="0"/>
        <w:jc w:val="center"/>
        <w:rPr>
          <w:sz w:val="18"/>
        </w:rPr>
        <w:sectPr>
          <w:type w:val="continuous"/>
          <w:pgSz w:w="8620" w:h="12960"/>
          <w:pgMar w:top="1220" w:bottom="280" w:left="1100" w:right="1100"/>
        </w:sectPr>
      </w:pPr>
    </w:p>
    <w:p>
      <w:pPr>
        <w:pStyle w:val="BodyText"/>
        <w:spacing w:line="211" w:lineRule="auto" w:before="135"/>
        <w:ind w:left="201" w:right="131" w:firstLine="11"/>
      </w:pPr>
      <w:r>
        <w:rPr/>
        <w:t>Chambers was affirmed during the October term of this Court  on  December  i6,  1</w:t>
      </w:r>
      <w:r>
        <w:rPr>
          <w:position w:val="-4"/>
          <w:sz w:val="26"/>
        </w:rPr>
        <w:t>9</w:t>
      </w:r>
      <w:r>
        <w:rPr/>
        <w:t>6</w:t>
      </w:r>
      <w:r>
        <w:rPr>
          <w:vertAlign w:val="subscript"/>
        </w:rPr>
        <w:t>0</w:t>
      </w:r>
      <w:r>
        <w:rPr>
          <w:vertAlign w:val="baseline"/>
        </w:rPr>
        <w:t>  .  Thereupon,  a   mandate was sent from this Court ordering appellant’s bill of</w:t>
      </w:r>
    </w:p>
    <w:p>
      <w:pPr>
        <w:pStyle w:val="BodyText"/>
        <w:spacing w:line="235" w:lineRule="auto" w:before="2"/>
        <w:ind w:left="191" w:right="137" w:firstLine="7"/>
      </w:pPr>
      <w:r>
        <w:rPr>
          <w:w w:val="105"/>
        </w:rPr>
        <w:t>exceptions and appeal bond approved ntinc Pro ftinc. This being done, the case was regularly appealed before this Court for further adjudication on a bill of exceptions containing two</w:t>
      </w:r>
      <w:r>
        <w:rPr>
          <w:spacing w:val="43"/>
          <w:w w:val="105"/>
        </w:rPr>
        <w:t> </w:t>
      </w:r>
      <w:r>
        <w:rPr>
          <w:w w:val="105"/>
        </w:rPr>
        <w:t>counts.</w:t>
      </w:r>
    </w:p>
    <w:p>
      <w:pPr>
        <w:pStyle w:val="BodyText"/>
        <w:spacing w:line="206" w:lineRule="auto" w:before="29"/>
        <w:ind w:left="204" w:right="142" w:firstLine="246"/>
      </w:pPr>
      <w:r>
        <w:rPr/>
        <w:t>Upon inspection of the records, it is apparent that on December z3, </w:t>
      </w:r>
      <w:r>
        <w:rPr>
          <w:position w:val="1"/>
        </w:rPr>
        <w:t>I </w:t>
      </w:r>
      <w:r>
        <w:rPr>
          <w:position w:val="-4"/>
        </w:rPr>
        <w:t>9f› </w:t>
      </w:r>
      <w:r>
        <w:rPr/>
        <w:t>, appellant Gbae  Geeby,  plaintiff below,  sued   out  an  action   of   injuction   against</w:t>
      </w:r>
      <w:r>
        <w:rPr>
          <w:spacing w:val="60"/>
        </w:rPr>
        <w:t> </w:t>
      </w:r>
      <w:r>
        <w:rPr/>
        <w:t>Kwrah</w:t>
      </w:r>
    </w:p>
    <w:p>
      <w:pPr>
        <w:pStyle w:val="BodyText"/>
        <w:spacing w:line="237" w:lineRule="auto"/>
        <w:ind w:left="188" w:right="138" w:firstLine="10"/>
      </w:pPr>
      <w:r>
        <w:rPr>
          <w:w w:val="105"/>
        </w:rPr>
        <w:t>Gbae and Captain McCabe, Magisterial Officer, District of Monrovia, and all deputies acting under them. The preliminary writ was ordered issued on the same date by Judge Joseph Findley, presiding over  the Circuit  Court of the Sixth Judicial Circuit, Montserrado County;  and on January zo,  </w:t>
      </w:r>
      <w:r>
        <w:rPr>
          <w:w w:val="105"/>
          <w:position w:val="-4"/>
        </w:rPr>
        <w:t>'9f   </w:t>
      </w:r>
      <w:r>
        <w:rPr>
          <w:w w:val="105"/>
        </w:rPr>
        <w:t>, a writ of  injunction  was issued</w:t>
      </w:r>
      <w:r>
        <w:rPr>
          <w:spacing w:val="4"/>
          <w:w w:val="105"/>
        </w:rPr>
        <w:t> </w:t>
      </w:r>
      <w:r>
        <w:rPr>
          <w:w w:val="105"/>
        </w:rPr>
        <w:t>and</w:t>
      </w:r>
    </w:p>
    <w:p>
      <w:pPr>
        <w:pStyle w:val="BodyText"/>
        <w:spacing w:line="213" w:lineRule="exact"/>
        <w:ind w:left="195"/>
      </w:pPr>
      <w:r>
        <w:rPr>
          <w:w w:val="105"/>
        </w:rPr>
        <w:t>served  on  the  parties  restraining  and  prohibiting</w:t>
      </w:r>
      <w:r>
        <w:rPr>
          <w:spacing w:val="-21"/>
          <w:w w:val="105"/>
        </w:rPr>
        <w:t> </w:t>
      </w:r>
      <w:r>
        <w:rPr>
          <w:w w:val="105"/>
        </w:rPr>
        <w:t>them,</w:t>
      </w:r>
    </w:p>
    <w:p>
      <w:pPr>
        <w:pStyle w:val="BodyText"/>
        <w:spacing w:line="235" w:lineRule="auto"/>
        <w:ind w:left="199" w:right="133" w:firstLine="5"/>
      </w:pPr>
      <w:r>
        <w:rPr>
          <w:w w:val="105"/>
        </w:rPr>
        <w:t>thei r agents, and all persons acting directly or indirectly under their authority, from  molesting  and/or  evicting the plaintiff from certain premises pending the final determination of the cause of</w:t>
      </w:r>
      <w:r>
        <w:rPr>
          <w:spacing w:val="45"/>
          <w:w w:val="105"/>
        </w:rPr>
        <w:t> </w:t>
      </w:r>
      <w:r>
        <w:rPr>
          <w:w w:val="105"/>
        </w:rPr>
        <w:t>action.</w:t>
      </w:r>
    </w:p>
    <w:p>
      <w:pPr>
        <w:pStyle w:val="BodyText"/>
        <w:spacing w:line="218" w:lineRule="auto"/>
        <w:ind w:left="190" w:right="134" w:firstLine="253"/>
      </w:pPr>
      <w:r>
        <w:rPr>
          <w:w w:val="105"/>
        </w:rPr>
        <w:t>Defendants appeared on January </w:t>
      </w:r>
      <w:r>
        <w:rPr>
          <w:w w:val="105"/>
          <w:position w:val="3"/>
        </w:rPr>
        <w:t>z</w:t>
      </w:r>
      <w:r>
        <w:rPr>
          <w:w w:val="105"/>
          <w:position w:val="0"/>
        </w:rPr>
        <w:t>f. </w:t>
      </w:r>
      <w:r>
        <w:rPr>
          <w:w w:val="105"/>
          <w:position w:val="-1"/>
        </w:rPr>
        <w:t>9f </w:t>
      </w:r>
      <w:r>
        <w:rPr>
          <w:w w:val="105"/>
          <w:position w:val="2"/>
        </w:rPr>
        <w:t>8, </w:t>
      </w:r>
      <w:r>
        <w:rPr>
          <w:w w:val="105"/>
        </w:rPr>
        <w:t>and subse- quently filed their answer. Immediately thereafter, they</w:t>
      </w:r>
    </w:p>
    <w:p>
      <w:pPr>
        <w:pStyle w:val="BodyText"/>
        <w:spacing w:line="235" w:lineRule="auto"/>
        <w:ind w:left="195" w:right="126" w:firstLine="5"/>
      </w:pPr>
      <w:r>
        <w:rPr/>
        <w:t>moved the  court  for  dissolution  of  the  injunction.  In their answer, they attacked the legal sufficiency of the plaintiff’s complaint; and in their motion to dissolve, they sought to have the main suit in summary ejectment en- forced, and to be placed in possession of the premises in question on the ground that the plaintiff  was  occupying said premises to their utter prejudice and  in  violation  of the spirit and intent of the</w:t>
      </w:r>
      <w:r>
        <w:rPr>
          <w:spacing w:val="-11"/>
        </w:rPr>
        <w:t> </w:t>
      </w:r>
      <w:r>
        <w:rPr/>
        <w:t>law.</w:t>
      </w:r>
    </w:p>
    <w:p>
      <w:pPr>
        <w:pStyle w:val="BodyText"/>
        <w:spacing w:line="237" w:lineRule="auto"/>
        <w:ind w:left="204" w:right="125" w:firstLine="243"/>
      </w:pPr>
      <w:r>
        <w:rPr/>
        <w:t>Examining the  records  further,  as  is  incumbent  upon us to do, it is observed that there were several notices of assignment made ordering the parties to appear for a hearing, the last of which  notices  was  dated  May  zy,  </w:t>
      </w:r>
      <w:r>
        <w:rPr>
          <w:position w:val="-4"/>
        </w:rPr>
        <w:t>939. </w:t>
      </w:r>
      <w:r>
        <w:rPr/>
        <w:t>making assignment for hearing of the case on June</w:t>
      </w:r>
      <w:r>
        <w:rPr>
          <w:spacing w:val="15"/>
        </w:rPr>
        <w:t> </w:t>
      </w:r>
      <w:r>
        <w:rPr/>
        <w:t>i,</w:t>
      </w:r>
    </w:p>
    <w:p>
      <w:pPr>
        <w:pStyle w:val="BodyText"/>
        <w:spacing w:line="182" w:lineRule="auto"/>
        <w:ind w:left="219"/>
      </w:pPr>
      <w:r>
        <w:rPr>
          <w:w w:val="105"/>
          <w:position w:val="-4"/>
        </w:rPr>
        <w:t>*939 </w:t>
      </w:r>
      <w:r>
        <w:rPr>
          <w:w w:val="105"/>
        </w:rPr>
        <w:t>But very strangely, and in harmony, with the</w:t>
      </w:r>
    </w:p>
    <w:p>
      <w:pPr>
        <w:spacing w:after="0" w:line="182" w:lineRule="auto"/>
        <w:sectPr>
          <w:headerReference w:type="default" r:id="rId5"/>
          <w:headerReference w:type="even" r:id="rId6"/>
          <w:pgSz w:w="8620" w:h="12960"/>
          <w:pgMar w:header="604" w:footer="0" w:top="820" w:bottom="280" w:left="1100" w:right="1100"/>
          <w:pgNumType w:start="27"/>
        </w:sectPr>
      </w:pPr>
    </w:p>
    <w:p>
      <w:pPr>
        <w:pStyle w:val="BodyText"/>
        <w:spacing w:line="235" w:lineRule="auto" w:before="158"/>
        <w:ind w:left="173" w:right="142" w:firstLine="21"/>
      </w:pPr>
      <w:r>
        <w:rPr>
          <w:w w:val="105"/>
        </w:rPr>
        <w:t>appellant’s contention, the minutes of the court show that the case was called and heard on July i, I php, during the sitting of the June term of the Circuit Court of the Sixth Judicial Circuit, Montserrado County, on which the said last notice of assignment required the parties to appear. Neither the plaintiff nor his representative was present when the judge heard the case and rendered his ruling which we quote hereunder as follows:</w:t>
      </w:r>
    </w:p>
    <w:p>
      <w:pPr>
        <w:pStyle w:val="BodyText"/>
        <w:spacing w:line="232" w:lineRule="auto"/>
        <w:ind w:left="529" w:right="179" w:firstLine="254"/>
      </w:pPr>
      <w:r>
        <w:rPr/>
        <w:t>“Against the petition in  this case,  the defense  filed an answer requesting the court to deny  the  injunction on the grounds</w:t>
      </w:r>
      <w:r>
        <w:rPr>
          <w:spacing w:val="21"/>
        </w:rPr>
        <w:t> </w:t>
      </w:r>
      <w:r>
        <w:rPr/>
        <w:t>that:</w:t>
      </w:r>
    </w:p>
    <w:p>
      <w:pPr>
        <w:pStyle w:val="BodyText"/>
        <w:spacing w:line="244" w:lineRule="auto"/>
        <w:ind w:left="1205" w:right="166" w:hanging="431"/>
      </w:pPr>
      <w:r>
        <w:rPr/>
        <w:t>“i. The case was not venued in any division of the court.</w:t>
      </w:r>
    </w:p>
    <w:p>
      <w:pPr>
        <w:pStyle w:val="BodyText"/>
        <w:spacing w:line="244" w:lineRule="auto"/>
        <w:ind w:left="1192" w:right="182" w:hanging="423"/>
      </w:pPr>
      <w:r>
        <w:rPr>
          <w:w w:val="105"/>
        </w:rPr>
        <w:t>“z. The complaint was not venued in keeping with statutes.</w:t>
      </w:r>
    </w:p>
    <w:p>
      <w:pPr>
        <w:pStyle w:val="BodyText"/>
        <w:spacing w:line="232" w:lineRule="auto"/>
        <w:ind w:left="765" w:right="177" w:hanging="40"/>
      </w:pPr>
      <w:r>
        <w:rPr>
          <w:i/>
        </w:rPr>
        <w:t>“$. </w:t>
      </w:r>
      <w:r>
        <w:rPr/>
        <w:t>The case was baseless for want of  a  title  deed. “4. The defendants were not properly</w:t>
      </w:r>
      <w:r>
        <w:rPr>
          <w:spacing w:val="-18"/>
        </w:rPr>
        <w:t> </w:t>
      </w:r>
      <w:r>
        <w:rPr/>
        <w:t>joined.</w:t>
      </w:r>
    </w:p>
    <w:p>
      <w:pPr>
        <w:pStyle w:val="BodyText"/>
        <w:spacing w:line="232" w:lineRule="auto"/>
        <w:ind w:left="1191" w:right="176" w:hanging="426"/>
      </w:pPr>
      <w:r>
        <w:rPr>
          <w:w w:val="105"/>
        </w:rPr>
        <w:t>“3. The writ of injunction did not lie against the court, but rather a writ of error.</w:t>
      </w:r>
    </w:p>
    <w:p>
      <w:pPr>
        <w:pStyle w:val="BodyText"/>
        <w:spacing w:line="235" w:lineRule="auto"/>
        <w:ind w:left="1179" w:right="184" w:hanging="410"/>
      </w:pPr>
      <w:r>
        <w:rPr/>
        <w:t>“6. The court had no jurisdiction over Kwrah Gbae who had never been a party  to  the  original action against which the injunction</w:t>
      </w:r>
      <w:r>
        <w:rPr>
          <w:spacing w:val="10"/>
        </w:rPr>
        <w:t> </w:t>
      </w:r>
      <w:r>
        <w:rPr/>
        <w:t>sought.</w:t>
      </w:r>
    </w:p>
    <w:p>
      <w:pPr>
        <w:pStyle w:val="BodyText"/>
        <w:spacing w:line="235" w:lineRule="auto"/>
        <w:ind w:left="502" w:right="183" w:firstLine="253"/>
      </w:pPr>
      <w:r>
        <w:rPr/>
        <w:t>“It is strange that, against such a strong and weighty attack upon the petition, the plaintiff neglected to rebut same by reply or otherwise. Even as to the motion to dissolve the injunction upon the basis  of  points  set forth in the first three counts of the answer, he also elected to be</w:t>
      </w:r>
      <w:r>
        <w:rPr>
          <w:spacing w:val="24"/>
        </w:rPr>
        <w:t> </w:t>
      </w:r>
      <w:r>
        <w:rPr/>
        <w:t>silent.</w:t>
      </w:r>
    </w:p>
    <w:p>
      <w:pPr>
        <w:pStyle w:val="BodyText"/>
        <w:spacing w:line="237" w:lineRule="auto"/>
        <w:ind w:left="492" w:right="188" w:firstLine="258"/>
      </w:pPr>
      <w:r>
        <w:rPr/>
        <w:t>“The court would like to pass upon the other issues raised in the answer and motion to dissolve which were not resisted; yet in our opinion, where jurisdictional questions are raised,  the  mandatory  requirements  of the statutes must have</w:t>
      </w:r>
      <w:r>
        <w:rPr>
          <w:spacing w:val="4"/>
        </w:rPr>
        <w:t> </w:t>
      </w:r>
      <w:r>
        <w:rPr/>
        <w:t>priority.</w:t>
      </w:r>
    </w:p>
    <w:p>
      <w:pPr>
        <w:pStyle w:val="BodyText"/>
        <w:spacing w:line="232" w:lineRule="auto"/>
        <w:ind w:left="488" w:right="199" w:firstLine="253"/>
      </w:pPr>
      <w:r>
        <w:rPr/>
        <w:t>“Upon inspection of the records in this  case,  the court finds the contentions  on  issues of  law in  Counts i and z of the defendants’ answer to be supported ; and since several rulings of our Supreme Court to</w:t>
      </w:r>
      <w:r>
        <w:rPr>
          <w:spacing w:val="39"/>
        </w:rPr>
        <w:t> </w:t>
      </w:r>
      <w:r>
        <w:rPr/>
        <w:t>the</w:t>
      </w:r>
    </w:p>
    <w:p>
      <w:pPr>
        <w:spacing w:after="0" w:line="232" w:lineRule="auto"/>
        <w:sectPr>
          <w:pgSz w:w="8620" w:h="12960"/>
          <w:pgMar w:header="533" w:footer="0" w:top="720" w:bottom="280" w:left="1100" w:right="1100"/>
        </w:sectPr>
      </w:pPr>
    </w:p>
    <w:p>
      <w:pPr>
        <w:pStyle w:val="BodyText"/>
        <w:spacing w:line="235" w:lineRule="auto" w:before="114"/>
        <w:ind w:left="503" w:right="185" w:firstLine="2"/>
      </w:pPr>
      <w:r>
        <w:rPr/>
        <w:t>effect that all cases must be venued in their respective divisions, terms, etc., apply to equity cases, and to injunctions in particular,  the  complaint  must  be venued upon the oath of the plaintiff or petitioner himself.</w:t>
      </w:r>
    </w:p>
    <w:p>
      <w:pPr>
        <w:pStyle w:val="BodyText"/>
        <w:spacing w:line="232" w:lineRule="auto"/>
        <w:ind w:left="507" w:right="180" w:firstLine="243"/>
      </w:pPr>
      <w:r>
        <w:rPr>
          <w:w w:val="105"/>
        </w:rPr>
        <w:t>“Upon the foregoing grounds, the court must dis- miss said injunction with costs against the petitioner ; and it is hereby so ordered.”</w:t>
      </w:r>
    </w:p>
    <w:p>
      <w:pPr>
        <w:pStyle w:val="BodyText"/>
        <w:spacing w:line="235" w:lineRule="auto"/>
        <w:ind w:left="146" w:right="165" w:firstLine="256"/>
      </w:pPr>
      <w:r>
        <w:rPr>
          <w:w w:val="105"/>
        </w:rPr>
        <w:t>In support of the entry of the above ruling against the plaintiff, now appellant, in the absence of both himself and his counsel, the trial judge ordered his clerk to note exceptions on the records in favor of plaintiff. Still, plaintiff had no notice of this unfair deal by the court until the statutory time within which plaintiff  should have filed his bill of exceptions had expired.  Plaintiff thus stood at a disadvantage unless he moved by error, as he</w:t>
      </w:r>
      <w:r>
        <w:rPr>
          <w:spacing w:val="-16"/>
          <w:w w:val="105"/>
        </w:rPr>
        <w:t> </w:t>
      </w:r>
      <w:r>
        <w:rPr>
          <w:w w:val="105"/>
        </w:rPr>
        <w:t>did</w:t>
      </w:r>
      <w:r>
        <w:rPr>
          <w:spacing w:val="-24"/>
          <w:w w:val="105"/>
        </w:rPr>
        <w:t> </w:t>
      </w:r>
      <w:r>
        <w:rPr>
          <w:w w:val="105"/>
        </w:rPr>
        <w:t>;</w:t>
      </w:r>
      <w:r>
        <w:rPr>
          <w:spacing w:val="-14"/>
          <w:w w:val="105"/>
        </w:rPr>
        <w:t> </w:t>
      </w:r>
      <w:r>
        <w:rPr>
          <w:w w:val="105"/>
        </w:rPr>
        <w:t>and</w:t>
      </w:r>
      <w:r>
        <w:rPr>
          <w:spacing w:val="4"/>
          <w:w w:val="105"/>
        </w:rPr>
        <w:t> </w:t>
      </w:r>
      <w:r>
        <w:rPr>
          <w:w w:val="105"/>
        </w:rPr>
        <w:t>his</w:t>
      </w:r>
      <w:r>
        <w:rPr>
          <w:spacing w:val="-28"/>
          <w:w w:val="105"/>
        </w:rPr>
        <w:t> </w:t>
      </w:r>
      <w:r>
        <w:rPr>
          <w:w w:val="105"/>
        </w:rPr>
        <w:t>grounds</w:t>
      </w:r>
      <w:r>
        <w:rPr>
          <w:spacing w:val="-6"/>
          <w:w w:val="105"/>
        </w:rPr>
        <w:t> </w:t>
      </w:r>
      <w:r>
        <w:rPr>
          <w:w w:val="105"/>
        </w:rPr>
        <w:t>for</w:t>
      </w:r>
      <w:r>
        <w:rPr>
          <w:spacing w:val="5"/>
          <w:w w:val="105"/>
        </w:rPr>
        <w:t> </w:t>
      </w:r>
      <w:r>
        <w:rPr>
          <w:w w:val="105"/>
        </w:rPr>
        <w:t>the</w:t>
      </w:r>
      <w:r>
        <w:rPr>
          <w:spacing w:val="-8"/>
          <w:w w:val="105"/>
        </w:rPr>
        <w:t> </w:t>
      </w:r>
      <w:r>
        <w:rPr>
          <w:w w:val="105"/>
        </w:rPr>
        <w:t>issuance</w:t>
      </w:r>
      <w:r>
        <w:rPr>
          <w:spacing w:val="-7"/>
          <w:w w:val="105"/>
        </w:rPr>
        <w:t> </w:t>
      </w:r>
      <w:r>
        <w:rPr>
          <w:w w:val="105"/>
        </w:rPr>
        <w:t>of</w:t>
      </w:r>
      <w:r>
        <w:rPr>
          <w:spacing w:val="19"/>
          <w:w w:val="105"/>
        </w:rPr>
        <w:t> </w:t>
      </w:r>
      <w:r>
        <w:rPr>
          <w:w w:val="105"/>
        </w:rPr>
        <w:t>the</w:t>
      </w:r>
      <w:r>
        <w:rPr>
          <w:spacing w:val="-12"/>
          <w:w w:val="105"/>
        </w:rPr>
        <w:t> </w:t>
      </w:r>
      <w:r>
        <w:rPr>
          <w:w w:val="105"/>
        </w:rPr>
        <w:t>writ</w:t>
      </w:r>
      <w:r>
        <w:rPr>
          <w:spacing w:val="-4"/>
          <w:w w:val="105"/>
        </w:rPr>
        <w:t> </w:t>
      </w:r>
      <w:r>
        <w:rPr>
          <w:w w:val="105"/>
        </w:rPr>
        <w:t>having been held to be sufficient, the writ was granted, and the records in the case were ordered before this Court for review of the</w:t>
      </w:r>
      <w:r>
        <w:rPr>
          <w:spacing w:val="11"/>
          <w:w w:val="105"/>
        </w:rPr>
        <w:t> </w:t>
      </w:r>
      <w:r>
        <w:rPr>
          <w:w w:val="105"/>
        </w:rPr>
        <w:t>same.</w:t>
      </w:r>
    </w:p>
    <w:p>
      <w:pPr>
        <w:pStyle w:val="BodyText"/>
        <w:spacing w:line="230" w:lineRule="auto"/>
        <w:ind w:left="163" w:right="157" w:firstLine="244"/>
      </w:pPr>
      <w:r>
        <w:rPr/>
        <w:t>At the October, </w:t>
      </w:r>
      <w:r>
        <w:rPr>
          <w:position w:val="2"/>
        </w:rPr>
        <w:t>I</w:t>
      </w:r>
      <w:r>
        <w:rPr>
          <w:position w:val="-2"/>
        </w:rPr>
        <w:t>9</w:t>
      </w:r>
      <w:r>
        <w:rPr/>
        <w:t>6o, term of this Court, the case was heard, and the judge of the lower court was ordered to approve the  plaintiff’s  bill  of  exceptions  and  appeal bond, following which the case regularly  reached  this forum for</w:t>
      </w:r>
      <w:r>
        <w:rPr>
          <w:spacing w:val="13"/>
        </w:rPr>
        <w:t> </w:t>
      </w:r>
      <w:r>
        <w:rPr/>
        <w:t>review.</w:t>
      </w:r>
    </w:p>
    <w:p>
      <w:pPr>
        <w:pStyle w:val="BodyText"/>
        <w:spacing w:line="262" w:lineRule="exact"/>
        <w:ind w:left="411"/>
      </w:pPr>
      <w:r>
        <w:rPr/>
        <w:t>The two counts of the bill of exceptions read as follows:</w:t>
      </w:r>
    </w:p>
    <w:p>
      <w:pPr>
        <w:pStyle w:val="BodyText"/>
        <w:spacing w:line="237" w:lineRule="auto"/>
        <w:ind w:left="968" w:right="130" w:hanging="278"/>
      </w:pPr>
      <w:r>
        <w:rPr>
          <w:w w:val="105"/>
        </w:rPr>
        <w:t>I. Because the judge erred in taking up the case without notifying plaintiff’s counsel of the assign- ment, especially so when Counsellor Witherspoon was present on the day actually assigned ; but the case was not taken up, and the judge promised to notify him, which he failed to do, thereby depriv- ing the plaintiff, now appellant, of a  hearing of his side of the</w:t>
      </w:r>
      <w:r>
        <w:rPr>
          <w:spacing w:val="7"/>
          <w:w w:val="105"/>
        </w:rPr>
        <w:t> </w:t>
      </w:r>
      <w:r>
        <w:rPr>
          <w:w w:val="105"/>
        </w:rPr>
        <w:t>cause.</w:t>
      </w:r>
    </w:p>
    <w:p>
      <w:pPr>
        <w:pStyle w:val="BodyText"/>
        <w:spacing w:line="235" w:lineRule="auto"/>
        <w:ind w:left="985" w:right="120" w:hanging="417"/>
      </w:pPr>
      <w:r>
        <w:rPr>
          <w:w w:val="105"/>
        </w:rPr>
        <w:t>“z. Plaintiff, now appellant, submits that in this action of injunction, where a motion was filed to</w:t>
      </w:r>
      <w:r>
        <w:rPr>
          <w:spacing w:val="-35"/>
          <w:w w:val="105"/>
        </w:rPr>
        <w:t> </w:t>
      </w:r>
      <w:r>
        <w:rPr>
          <w:w w:val="105"/>
        </w:rPr>
        <w:t>dissolve the injunction, the judge erred in calling and</w:t>
      </w:r>
      <w:r>
        <w:rPr>
          <w:spacing w:val="8"/>
          <w:w w:val="105"/>
        </w:rPr>
        <w:t> </w:t>
      </w:r>
      <w:r>
        <w:rPr>
          <w:w w:val="105"/>
        </w:rPr>
        <w:t>hear-</w:t>
      </w:r>
    </w:p>
    <w:p>
      <w:pPr>
        <w:spacing w:after="0" w:line="235" w:lineRule="auto"/>
        <w:sectPr>
          <w:pgSz w:w="8620" w:h="12960"/>
          <w:pgMar w:header="604" w:footer="0" w:top="840" w:bottom="280" w:left="1100" w:right="1100"/>
        </w:sectPr>
      </w:pPr>
    </w:p>
    <w:p>
      <w:pPr>
        <w:spacing w:line="242" w:lineRule="auto" w:before="119"/>
        <w:ind w:left="952" w:right="160" w:firstLine="19"/>
        <w:jc w:val="both"/>
        <w:rPr>
          <w:sz w:val="24"/>
        </w:rPr>
      </w:pPr>
      <w:r>
        <w:rPr>
          <w:w w:val="105"/>
          <w:sz w:val="24"/>
        </w:rPr>
        <w:t>ing the main suit before disposing of the said motion, particularly since it was done in  the absence of the plaintiff, now appellant, and his lawyer, who were not notified that the case was being heard that</w:t>
      </w:r>
      <w:r>
        <w:rPr>
          <w:spacing w:val="12"/>
          <w:w w:val="105"/>
          <w:sz w:val="24"/>
        </w:rPr>
        <w:t> </w:t>
      </w:r>
      <w:r>
        <w:rPr>
          <w:w w:val="105"/>
          <w:sz w:val="24"/>
        </w:rPr>
        <w:t>day.”</w:t>
      </w:r>
    </w:p>
    <w:p>
      <w:pPr>
        <w:spacing w:line="244" w:lineRule="auto" w:before="8"/>
        <w:ind w:left="139" w:right="180" w:firstLine="261"/>
        <w:jc w:val="both"/>
        <w:rPr>
          <w:sz w:val="24"/>
        </w:rPr>
      </w:pPr>
      <w:r>
        <w:rPr>
          <w:w w:val="105"/>
          <w:sz w:val="24"/>
        </w:rPr>
        <w:t>We cannot understand the  strange  practice  introduced by the trial judge below in undertaking to go into the hearing of the issues of law raised in the pleadings in the injunction before first hearing the motion to dissolve the writ which, to all intents and purposes, was supersedeas. Nor can we entertain the belief that the judge below was conversant with the law controlling in the premises ; how- ever, he did proceed in such a manner ; and  this  Court must review such acts and correct the errors in conformity with the following</w:t>
      </w:r>
      <w:r>
        <w:rPr>
          <w:spacing w:val="-27"/>
          <w:w w:val="105"/>
          <w:sz w:val="24"/>
        </w:rPr>
        <w:t> </w:t>
      </w:r>
      <w:r>
        <w:rPr>
          <w:w w:val="105"/>
          <w:sz w:val="24"/>
        </w:rPr>
        <w:t>statute:</w:t>
      </w:r>
    </w:p>
    <w:p>
      <w:pPr>
        <w:pStyle w:val="BodyText"/>
        <w:spacing w:line="271" w:lineRule="exact"/>
        <w:ind w:left="750"/>
      </w:pPr>
      <w:r>
        <w:rPr/>
        <w:t>“Upon reasonable notice to the plaintiff, the de-</w:t>
      </w:r>
    </w:p>
    <w:p>
      <w:pPr>
        <w:spacing w:line="237" w:lineRule="auto" w:before="7"/>
        <w:ind w:left="484" w:right="190" w:firstLine="16"/>
        <w:jc w:val="both"/>
        <w:rPr>
          <w:sz w:val="25"/>
        </w:rPr>
      </w:pPr>
      <w:r>
        <w:rPr>
          <w:w w:val="105"/>
          <w:sz w:val="24"/>
        </w:rPr>
        <w:t>fendant may file a motion to dissolve or modify the  </w:t>
      </w:r>
      <w:r>
        <w:rPr>
          <w:w w:val="105"/>
          <w:sz w:val="25"/>
        </w:rPr>
        <w:t>writ ; and the court shall hear the motion as expedi- </w:t>
      </w:r>
      <w:r>
        <w:rPr>
          <w:w w:val="105"/>
          <w:sz w:val="24"/>
        </w:rPr>
        <w:t>tiously as the ends of justice permit. The court may dissolve the writ outright at such hearing or may </w:t>
      </w:r>
      <w:r>
        <w:rPr>
          <w:w w:val="105"/>
          <w:position w:val="1"/>
          <w:sz w:val="24"/>
        </w:rPr>
        <w:t>condition dissolution of the writ pending final  </w:t>
      </w:r>
      <w:r>
        <w:rPr>
          <w:w w:val="105"/>
          <w:sz w:val="24"/>
        </w:rPr>
        <w:t>h</w:t>
      </w:r>
      <w:r>
        <w:rPr>
          <w:w w:val="105"/>
          <w:position w:val="1"/>
          <w:sz w:val="24"/>
        </w:rPr>
        <w:t>earing </w:t>
      </w:r>
      <w:r>
        <w:rPr>
          <w:w w:val="105"/>
          <w:sz w:val="25"/>
        </w:rPr>
        <w:t>of the issues on the giving of a bond by the defendant </w:t>
      </w:r>
      <w:r>
        <w:rPr>
          <w:w w:val="105"/>
          <w:sz w:val="24"/>
        </w:rPr>
        <w:t>for any damage caused the plaintiff by the defendant’s </w:t>
      </w:r>
      <w:r>
        <w:rPr>
          <w:w w:val="105"/>
          <w:sz w:val="25"/>
        </w:rPr>
        <w:t>actions after dissolution of the writ if on final hearing </w:t>
      </w:r>
      <w:r>
        <w:rPr>
          <w:w w:val="105"/>
          <w:sz w:val="24"/>
        </w:rPr>
        <w:t>a permanent injunction is granted ;  provided,  how- ever, that the court shall not dissolve a writ  upon </w:t>
      </w:r>
      <w:r>
        <w:rPr>
          <w:w w:val="105"/>
          <w:sz w:val="25"/>
        </w:rPr>
        <w:t>motion unless the defendant files a sufficient answer, </w:t>
      </w:r>
      <w:r>
        <w:rPr>
          <w:w w:val="105"/>
          <w:sz w:val="24"/>
        </w:rPr>
        <w:t>and it shall not be a sufficient answer merely to deny knowledge of the facts  alleged  by  the  plaintiff  and put the plaintiff  upon  proof  thereof.”  </w:t>
      </w:r>
      <w:r>
        <w:rPr>
          <w:w w:val="105"/>
          <w:position w:val="2"/>
          <w:sz w:val="24"/>
        </w:rPr>
        <w:t>I </w:t>
      </w:r>
      <w:r>
        <w:rPr>
          <w:w w:val="105"/>
          <w:position w:val="-1"/>
          <w:sz w:val="24"/>
        </w:rPr>
        <w:t>9s</w:t>
      </w:r>
      <w:r>
        <w:rPr>
          <w:w w:val="105"/>
          <w:position w:val="2"/>
          <w:sz w:val="24"/>
        </w:rPr>
        <w:t>6 </w:t>
      </w:r>
      <w:r>
        <w:rPr>
          <w:w w:val="105"/>
          <w:sz w:val="24"/>
        </w:rPr>
        <w:t>Code, tit.  </w:t>
      </w:r>
      <w:r>
        <w:rPr>
          <w:w w:val="105"/>
          <w:sz w:val="25"/>
        </w:rPr>
        <w:t>6, §</w:t>
      </w:r>
      <w:r>
        <w:rPr>
          <w:spacing w:val="41"/>
          <w:w w:val="105"/>
          <w:sz w:val="25"/>
        </w:rPr>
        <w:t> </w:t>
      </w:r>
      <w:r>
        <w:rPr>
          <w:spacing w:val="5"/>
          <w:w w:val="105"/>
          <w:sz w:val="25"/>
        </w:rPr>
        <w:t>io84.</w:t>
      </w:r>
    </w:p>
    <w:p>
      <w:pPr>
        <w:pStyle w:val="BodyText"/>
        <w:spacing w:before="3"/>
        <w:ind w:left="108" w:right="215" w:firstLine="250"/>
      </w:pPr>
      <w:r>
        <w:rPr>
          <w:w w:val="105"/>
        </w:rPr>
        <w:t>The issue as to jurisdiction of the court over the person of one of the defendants was a fit subject to be heard at any time during the trial ; and the court erred in omitting to hold a hearing on the motion to dissolve before ruling on the issues of law raised in the answer.</w:t>
      </w:r>
    </w:p>
    <w:p>
      <w:pPr>
        <w:pStyle w:val="BodyText"/>
        <w:spacing w:line="276" w:lineRule="exact"/>
        <w:ind w:left="722"/>
      </w:pPr>
      <w:r>
        <w:rPr>
          <w:w w:val="105"/>
        </w:rPr>
        <w:t>“The hearing to determine whether an injunction</w:t>
      </w:r>
    </w:p>
    <w:p>
      <w:pPr>
        <w:spacing w:after="0" w:line="276" w:lineRule="exact"/>
        <w:sectPr>
          <w:pgSz w:w="8620" w:h="12960"/>
          <w:pgMar w:header="533" w:footer="0" w:top="720" w:bottom="280" w:left="1100" w:right="1100"/>
        </w:sectPr>
      </w:pPr>
    </w:p>
    <w:p>
      <w:pPr>
        <w:spacing w:line="252" w:lineRule="auto" w:before="124"/>
        <w:ind w:left="587" w:right="107" w:hanging="8"/>
        <w:jc w:val="both"/>
        <w:rPr>
          <w:sz w:val="23"/>
        </w:rPr>
      </w:pPr>
      <w:r>
        <w:rPr>
          <w:w w:val="110"/>
          <w:sz w:val="24"/>
        </w:rPr>
        <w:t>shall issue shall be held on the date set therefor in the </w:t>
      </w:r>
      <w:r>
        <w:rPr>
          <w:w w:val="110"/>
          <w:sz w:val="23"/>
        </w:rPr>
        <w:t>writ of injunction or on such other date as may  be set by the court upon motions for an extension or dissolu- tion of the writ, as set forth in section io84</w:t>
      </w:r>
      <w:r>
        <w:rPr>
          <w:spacing w:val="18"/>
          <w:w w:val="110"/>
          <w:sz w:val="23"/>
        </w:rPr>
        <w:t> </w:t>
      </w:r>
      <w:r>
        <w:rPr>
          <w:w w:val="110"/>
          <w:sz w:val="23"/>
        </w:rPr>
        <w:t>above.”</w:t>
      </w:r>
    </w:p>
    <w:p>
      <w:pPr>
        <w:pStyle w:val="BodyText"/>
        <w:spacing w:line="296" w:lineRule="exact"/>
        <w:ind w:left="597"/>
      </w:pPr>
      <w:r>
        <w:rPr>
          <w:position w:val="-4"/>
        </w:rPr>
        <w:t>*9s</w:t>
      </w:r>
      <w:r>
        <w:rPr/>
        <w:t>6 Code, tit. 6, § io8 .</w:t>
      </w:r>
    </w:p>
    <w:p>
      <w:pPr>
        <w:spacing w:line="249" w:lineRule="exact" w:before="0"/>
        <w:ind w:left="453" w:right="0" w:firstLine="0"/>
        <w:jc w:val="both"/>
        <w:rPr>
          <w:sz w:val="24"/>
        </w:rPr>
      </w:pPr>
      <w:r>
        <w:rPr>
          <w:w w:val="110"/>
          <w:sz w:val="24"/>
        </w:rPr>
        <w:t>When this case was called and heard by this</w:t>
      </w:r>
      <w:r>
        <w:rPr>
          <w:spacing w:val="63"/>
          <w:w w:val="110"/>
          <w:sz w:val="24"/>
        </w:rPr>
        <w:t> </w:t>
      </w:r>
      <w:r>
        <w:rPr>
          <w:w w:val="110"/>
          <w:sz w:val="24"/>
        </w:rPr>
        <w:t>Court,</w:t>
      </w:r>
    </w:p>
    <w:p>
      <w:pPr>
        <w:spacing w:line="254" w:lineRule="auto" w:before="16"/>
        <w:ind w:left="219" w:right="100" w:firstLine="0"/>
        <w:jc w:val="both"/>
        <w:rPr>
          <w:sz w:val="24"/>
        </w:rPr>
      </w:pPr>
      <w:r>
        <w:rPr>
          <w:w w:val="110"/>
          <w:sz w:val="23"/>
        </w:rPr>
        <w:t>counsel for appellee, in his argument, conceded the in- consistency of the procedure adopted by the trial judge below; and since it  has been  established  that the trial  was i rregular, it is our opinion that both counts of appellant’s bill of exceptions are well taken ; therefore they are sus- tained, and the case is hereby remanded  to be tried  anew  in harmony with the law and without delay. And it is </w:t>
      </w:r>
      <w:r>
        <w:rPr>
          <w:w w:val="110"/>
          <w:sz w:val="24"/>
        </w:rPr>
        <w:t>hereby so</w:t>
      </w:r>
      <w:r>
        <w:rPr>
          <w:spacing w:val="31"/>
          <w:w w:val="110"/>
          <w:sz w:val="24"/>
        </w:rPr>
        <w:t> </w:t>
      </w:r>
      <w:r>
        <w:rPr>
          <w:w w:val="110"/>
          <w:sz w:val="24"/>
        </w:rPr>
        <w:t>ordered.</w:t>
      </w:r>
    </w:p>
    <w:p>
      <w:pPr>
        <w:spacing w:line="230" w:lineRule="exact" w:before="0"/>
        <w:ind w:left="0" w:right="104" w:firstLine="0"/>
        <w:jc w:val="right"/>
        <w:rPr>
          <w:i/>
          <w:sz w:val="22"/>
        </w:rPr>
      </w:pPr>
      <w:r>
        <w:rPr>
          <w:i/>
          <w:w w:val="115"/>
          <w:sz w:val="22"/>
        </w:rPr>
        <w:t>R emanded.</w:t>
      </w:r>
    </w:p>
    <w:sectPr>
      <w:pgSz w:w="8620" w:h="12960"/>
      <w:pgMar w:header="604" w:footer="0" w:top="880" w:bottom="280" w:left="110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144.703094pt;margin-top:29.208868pt;width:144.550pt;height:13.1pt;mso-position-horizontal-relative:page;mso-position-vertical-relative:page;z-index:-15783936" type="#_x0000_t202" filled="false" stroked="false">
          <v:textbox inset="0,0,0,0">
            <w:txbxContent>
              <w:p>
                <w:pPr>
                  <w:spacing w:before="11"/>
                  <w:ind w:left="20" w:right="0" w:firstLine="0"/>
                  <w:jc w:val="left"/>
                  <w:rPr>
                    <w:sz w:val="20"/>
                  </w:rPr>
                </w:pPr>
                <w:r>
                  <w:rPr>
                    <w:w w:val="115"/>
                    <w:sz w:val="20"/>
                  </w:rPr>
                  <w:t>LIBERIAN LAW REPORTS</w:t>
                </w:r>
              </w:p>
            </w:txbxContent>
          </v:textbox>
          <w10:wrap type="none"/>
        </v:shape>
      </w:pict>
    </w:r>
    <w:r>
      <w:rPr/>
      <w:pict>
        <v:shape style="position:absolute;margin-left:353.98999pt;margin-top:29.208868pt;width:20.05pt;height:16.8pt;mso-position-horizontal-relative:page;mso-position-vertical-relative:page;z-index:-15783424" type="#_x0000_t202" filled="false" stroked="false">
          <v:textbox inset="0,0,0,0">
            <w:txbxContent>
              <w:p>
                <w:pPr>
                  <w:spacing w:before="11"/>
                  <w:ind w:left="108" w:right="0" w:firstLine="0"/>
                  <w:jc w:val="left"/>
                  <w:rPr>
                    <w:sz w:val="20"/>
                  </w:rPr>
                </w:pPr>
                <w:r>
                  <w:rPr/>
                  <w:fldChar w:fldCharType="begin"/>
                </w:r>
                <w:r>
                  <w:rPr>
                    <w:w w:val="110"/>
                    <w:sz w:val="20"/>
                  </w:rPr>
                  <w:instrText> PAGE </w:instrText>
                </w:r>
                <w:r>
                  <w:rPr/>
                  <w:fldChar w:fldCharType="separate"/>
                </w:r>
                <w:r>
                  <w:rPr/>
                  <w:t>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60.06879pt;margin-top:23.483311pt;width:18.650pt;height:15.8pt;mso-position-horizontal-relative:page;mso-position-vertical-relative:page;z-index:-15782912" type="#_x0000_t202" filled="false" stroked="false">
          <v:textbox inset="0,0,0,0">
            <w:txbxContent>
              <w:p>
                <w:pPr>
                  <w:spacing w:before="11"/>
                  <w:ind w:left="60" w:right="0" w:firstLine="0"/>
                  <w:jc w:val="left"/>
                  <w:rPr>
                    <w:sz w:val="21"/>
                  </w:rPr>
                </w:pPr>
                <w:r>
                  <w:rPr/>
                  <w:fldChar w:fldCharType="begin"/>
                </w:r>
                <w:r>
                  <w:rPr>
                    <w:sz w:val="21"/>
                  </w:rPr>
                  <w:instrText> PAGE </w:instrText>
                </w:r>
                <w:r>
                  <w:rPr/>
                  <w:fldChar w:fldCharType="separate"/>
                </w:r>
                <w:r>
                  <w:rPr/>
                  <w:t>30</w:t>
                </w:r>
                <w:r>
                  <w:rPr/>
                  <w:fldChar w:fldCharType="end"/>
                </w:r>
              </w:p>
            </w:txbxContent>
          </v:textbox>
          <w10:wrap type="none"/>
        </v:shape>
      </w:pict>
    </w:r>
    <w:r>
      <w:rPr/>
      <w:pict>
        <v:shape style="position:absolute;margin-left:143.016098pt;margin-top:23.96331pt;width:145.050pt;height:13.65pt;mso-position-horizontal-relative:page;mso-position-vertical-relative:page;z-index:-15782400" type="#_x0000_t202" filled="false" stroked="false">
          <v:textbox inset="0,0,0,0">
            <w:txbxContent>
              <w:p>
                <w:pPr>
                  <w:spacing w:before="11"/>
                  <w:ind w:left="20" w:right="0" w:firstLine="0"/>
                  <w:jc w:val="left"/>
                  <w:rPr>
                    <w:sz w:val="21"/>
                  </w:rPr>
                </w:pPr>
                <w:r>
                  <w:rPr>
                    <w:w w:val="110"/>
                    <w:sz w:val="21"/>
                  </w:rPr>
                  <w:t>LIBERIAN LAW</w:t>
                </w:r>
                <w:r>
                  <w:rPr>
                    <w:spacing w:val="56"/>
                    <w:w w:val="110"/>
                    <w:sz w:val="21"/>
                  </w:rPr>
                  <w:t> </w:t>
                </w:r>
                <w:r>
                  <w:rPr>
                    <w:w w:val="110"/>
                    <w:sz w:val="21"/>
                  </w:rPr>
                  <w:t>REPORTS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5"/>
      <w:szCs w:val="25"/>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2023-05-17T15:01:17Z</dcterms:created>
  <dcterms:modified xsi:type="dcterms:W3CDTF">2023-05-17T15:01:17Z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HP Smart Document Scan Software 2.70</vt:lpwstr>
  </property>
  <property fmtid="{D5CDD505-2E9C-101B-9397-08002B2CF9AE}" pid="4" name="LastSaved">
    <vt:filetime>2023-05-17T00:00:00Z</vt:filetime>
  </property>
</Properties>
</file>